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jc w:val="center"/>
        <w:tblLook w:val="0000" w:firstRow="0" w:lastRow="0" w:firstColumn="0" w:lastColumn="0" w:noHBand="0" w:noVBand="0"/>
      </w:tblPr>
      <w:tblGrid>
        <w:gridCol w:w="3616"/>
        <w:gridCol w:w="5670"/>
      </w:tblGrid>
      <w:tr w:rsidR="00DC38ED" w:rsidRPr="00BF3EE7" w:rsidTr="00472AF6">
        <w:trPr>
          <w:trHeight w:val="978"/>
          <w:jc w:val="center"/>
        </w:trPr>
        <w:tc>
          <w:tcPr>
            <w:tcW w:w="3616" w:type="dxa"/>
            <w:vAlign w:val="center"/>
          </w:tcPr>
          <w:p w:rsidR="00DC38ED" w:rsidRPr="00BF3EE7" w:rsidRDefault="00DC38ED" w:rsidP="00472AF6">
            <w:pPr>
              <w:tabs>
                <w:tab w:val="left" w:pos="567"/>
              </w:tabs>
              <w:jc w:val="center"/>
              <w:rPr>
                <w:bCs/>
                <w:color w:val="000000"/>
                <w:lang w:val="nl-NL"/>
              </w:rPr>
            </w:pPr>
            <w:bookmarkStart w:id="0" w:name="_GoBack"/>
            <w:bookmarkEnd w:id="0"/>
            <w:r w:rsidRPr="00BF3EE7">
              <w:rPr>
                <w:bCs/>
                <w:color w:val="000000"/>
                <w:lang w:val="nl-NL"/>
              </w:rPr>
              <w:t>UBND TỈNH HÀ NAM</w:t>
            </w:r>
          </w:p>
          <w:p w:rsidR="00DC38ED" w:rsidRPr="00BF3EE7" w:rsidRDefault="00DC38ED" w:rsidP="00472AF6">
            <w:pPr>
              <w:tabs>
                <w:tab w:val="left" w:pos="567"/>
              </w:tabs>
              <w:jc w:val="center"/>
              <w:rPr>
                <w:b/>
                <w:bCs/>
                <w:color w:val="000000"/>
                <w:sz w:val="26"/>
                <w:lang w:val="nl-NL"/>
              </w:rPr>
            </w:pPr>
            <w:r w:rsidRPr="00BF3EE7">
              <w:rPr>
                <w:noProof/>
                <w:color w:val="000000"/>
                <w:sz w:val="26"/>
              </w:rPr>
              <mc:AlternateContent>
                <mc:Choice Requires="wps">
                  <w:drawing>
                    <wp:anchor distT="0" distB="0" distL="114300" distR="114300" simplePos="0" relativeHeight="251664384" behindDoc="0" locked="0" layoutInCell="1" allowOverlap="1" wp14:anchorId="24164A3C" wp14:editId="062A9467">
                      <wp:simplePos x="0" y="0"/>
                      <wp:positionH relativeFrom="column">
                        <wp:align>center</wp:align>
                      </wp:positionH>
                      <wp:positionV relativeFrom="paragraph">
                        <wp:posOffset>199390</wp:posOffset>
                      </wp:positionV>
                      <wp:extent cx="1352550" cy="0"/>
                      <wp:effectExtent l="8255" t="8890" r="1079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1A222C" id="Line 6" o:spid="_x0000_s1026" style="position:absolute;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5.7pt" to="10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zb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"/>
                  </w:pict>
                </mc:Fallback>
              </mc:AlternateContent>
            </w:r>
            <w:r w:rsidRPr="00BF3EE7">
              <w:rPr>
                <w:b/>
                <w:color w:val="000000"/>
                <w:sz w:val="26"/>
                <w:lang w:val="nl-NL"/>
              </w:rPr>
              <w:t>SỞ KẾ HOẠCH VÀ ĐẦU TƯ</w:t>
            </w:r>
          </w:p>
        </w:tc>
        <w:tc>
          <w:tcPr>
            <w:tcW w:w="5670" w:type="dxa"/>
            <w:vAlign w:val="center"/>
          </w:tcPr>
          <w:p w:rsidR="00DC38ED" w:rsidRPr="00BF3EE7" w:rsidRDefault="00DC38ED" w:rsidP="00472AF6">
            <w:pPr>
              <w:tabs>
                <w:tab w:val="left" w:pos="567"/>
              </w:tabs>
              <w:jc w:val="center"/>
              <w:rPr>
                <w:b/>
                <w:color w:val="000000"/>
                <w:sz w:val="26"/>
                <w:szCs w:val="26"/>
                <w:lang w:val="nl-NL" w:eastAsia="x-none"/>
              </w:rPr>
            </w:pPr>
            <w:r w:rsidRPr="00BF3EE7">
              <w:rPr>
                <w:b/>
                <w:color w:val="000000"/>
                <w:sz w:val="26"/>
                <w:szCs w:val="26"/>
                <w:lang w:val="nl-NL" w:eastAsia="x-none"/>
              </w:rPr>
              <w:t>CỘNG HÒA XÃ HỘI CHỦ NGHĨA VIỆT NAM</w:t>
            </w:r>
          </w:p>
          <w:p w:rsidR="00DC38ED" w:rsidRPr="00BF3EE7" w:rsidRDefault="00DC38ED" w:rsidP="00472AF6">
            <w:pPr>
              <w:tabs>
                <w:tab w:val="left" w:pos="567"/>
              </w:tabs>
              <w:jc w:val="center"/>
              <w:rPr>
                <w:b/>
                <w:color w:val="000000"/>
                <w:lang w:val="nl-NL"/>
              </w:rPr>
            </w:pPr>
            <w:r w:rsidRPr="00BF3EE7">
              <w:rPr>
                <w:noProof/>
                <w:color w:val="000000"/>
              </w:rPr>
              <mc:AlternateContent>
                <mc:Choice Requires="wps">
                  <w:drawing>
                    <wp:anchor distT="0" distB="0" distL="114300" distR="114300" simplePos="0" relativeHeight="251665408" behindDoc="0" locked="0" layoutInCell="1" allowOverlap="1" wp14:anchorId="2A8BD42A" wp14:editId="51571132">
                      <wp:simplePos x="0" y="0"/>
                      <wp:positionH relativeFrom="column">
                        <wp:posOffset>647700</wp:posOffset>
                      </wp:positionH>
                      <wp:positionV relativeFrom="paragraph">
                        <wp:posOffset>225425</wp:posOffset>
                      </wp:positionV>
                      <wp:extent cx="2160270" cy="0"/>
                      <wp:effectExtent l="5080" t="11430" r="6350" b="76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F0AD73"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7.75pt" to="221.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H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FT6ExvXAkBK7WzoTZ6Vi9mq+l3h5RetUQdeGT4ejGQloWM5E1K2DgD+Pv+s2YQQ45exzad&#10;G9sFSGgAOkc1Lnc1+NkjCod5Nk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"/>
                  </w:pict>
                </mc:Fallback>
              </mc:AlternateContent>
            </w:r>
            <w:r w:rsidRPr="00BF3EE7">
              <w:rPr>
                <w:b/>
                <w:color w:val="000000"/>
                <w:lang w:val="nl-NL"/>
              </w:rPr>
              <w:t>Độc lập - Tự do - Hạnh phúc</w:t>
            </w:r>
          </w:p>
        </w:tc>
      </w:tr>
      <w:tr w:rsidR="00DC38ED" w:rsidRPr="00ED377F" w:rsidTr="00472AF6">
        <w:trPr>
          <w:trHeight w:val="269"/>
          <w:jc w:val="center"/>
        </w:trPr>
        <w:tc>
          <w:tcPr>
            <w:tcW w:w="3616" w:type="dxa"/>
            <w:vAlign w:val="center"/>
          </w:tcPr>
          <w:p w:rsidR="00DC38ED" w:rsidRPr="00F90FA6" w:rsidRDefault="00DC38ED" w:rsidP="00472AF6">
            <w:pPr>
              <w:tabs>
                <w:tab w:val="left" w:pos="567"/>
              </w:tabs>
              <w:jc w:val="center"/>
              <w:rPr>
                <w:color w:val="000000"/>
              </w:rPr>
            </w:pPr>
            <w:r w:rsidRPr="00BF3EE7">
              <w:rPr>
                <w:color w:val="000000"/>
              </w:rPr>
              <w:t xml:space="preserve">Số:               </w:t>
            </w:r>
            <w:r>
              <w:rPr>
                <w:color w:val="000000"/>
              </w:rPr>
              <w:t>/</w:t>
            </w:r>
            <w:r w:rsidR="00BB1577">
              <w:rPr>
                <w:color w:val="000000"/>
              </w:rPr>
              <w:t>TTr-</w:t>
            </w:r>
            <w:r w:rsidRPr="00BF3EE7">
              <w:rPr>
                <w:color w:val="000000"/>
              </w:rPr>
              <w:t>SKHĐT</w:t>
            </w:r>
          </w:p>
        </w:tc>
        <w:tc>
          <w:tcPr>
            <w:tcW w:w="5670" w:type="dxa"/>
            <w:vAlign w:val="center"/>
          </w:tcPr>
          <w:p w:rsidR="00DC38ED" w:rsidRPr="00BF3EE7" w:rsidRDefault="00DC38ED" w:rsidP="00472AF6">
            <w:pPr>
              <w:tabs>
                <w:tab w:val="left" w:pos="567"/>
              </w:tabs>
              <w:jc w:val="center"/>
              <w:rPr>
                <w:b/>
                <w:color w:val="000000"/>
                <w:lang w:val="nl-NL" w:eastAsia="x-none"/>
              </w:rPr>
            </w:pPr>
            <w:r w:rsidRPr="00BF3EE7">
              <w:rPr>
                <w:i/>
                <w:iCs/>
                <w:color w:val="000000"/>
                <w:lang w:val="nl-NL" w:eastAsia="x-none"/>
              </w:rPr>
              <w:t>Hà Nam</w:t>
            </w:r>
            <w:r w:rsidRPr="00BF3EE7">
              <w:rPr>
                <w:i/>
                <w:color w:val="000000"/>
                <w:lang w:val="nl-NL" w:eastAsia="x-none"/>
              </w:rPr>
              <w:t>, ngày        tháng  năm 202</w:t>
            </w:r>
            <w:r>
              <w:rPr>
                <w:i/>
                <w:color w:val="000000"/>
                <w:lang w:val="nl-NL" w:eastAsia="x-none"/>
              </w:rPr>
              <w:t>4</w:t>
            </w:r>
          </w:p>
        </w:tc>
      </w:tr>
      <w:tr w:rsidR="00DC38ED" w:rsidRPr="00A715E3" w:rsidTr="00472AF6">
        <w:trPr>
          <w:trHeight w:val="269"/>
          <w:jc w:val="center"/>
        </w:trPr>
        <w:tc>
          <w:tcPr>
            <w:tcW w:w="3616" w:type="dxa"/>
            <w:vAlign w:val="center"/>
          </w:tcPr>
          <w:p w:rsidR="00DC38ED" w:rsidRPr="00A715E3" w:rsidRDefault="00DC38ED" w:rsidP="00BB1577">
            <w:pPr>
              <w:tabs>
                <w:tab w:val="left" w:pos="567"/>
              </w:tabs>
              <w:rPr>
                <w:color w:val="000000"/>
                <w:lang w:val="nl-NL"/>
              </w:rPr>
            </w:pPr>
          </w:p>
        </w:tc>
        <w:tc>
          <w:tcPr>
            <w:tcW w:w="5670" w:type="dxa"/>
            <w:vAlign w:val="center"/>
          </w:tcPr>
          <w:p w:rsidR="00DC38ED" w:rsidRPr="00BF3EE7" w:rsidRDefault="00DC38ED" w:rsidP="00472AF6">
            <w:pPr>
              <w:tabs>
                <w:tab w:val="left" w:pos="567"/>
              </w:tabs>
              <w:jc w:val="center"/>
              <w:rPr>
                <w:i/>
                <w:iCs/>
                <w:color w:val="000000"/>
                <w:lang w:val="nl-NL" w:eastAsia="x-none"/>
              </w:rPr>
            </w:pPr>
          </w:p>
        </w:tc>
      </w:tr>
    </w:tbl>
    <w:p w:rsidR="00DC38ED" w:rsidRDefault="007E5F38" w:rsidP="007E5F38">
      <w:pPr>
        <w:jc w:val="both"/>
        <w:rPr>
          <w:b/>
        </w:rPr>
      </w:pPr>
      <w:r>
        <w:rPr>
          <w:b/>
        </w:rPr>
        <w:t>DỰ THẢO</w:t>
      </w:r>
    </w:p>
    <w:p w:rsidR="003C17DE" w:rsidRPr="002530D5" w:rsidRDefault="003C17DE" w:rsidP="002530D5">
      <w:pPr>
        <w:jc w:val="center"/>
        <w:rPr>
          <w:sz w:val="2"/>
        </w:rPr>
      </w:pPr>
      <w:r w:rsidRPr="00FC0DB6">
        <w:rPr>
          <w:b/>
        </w:rPr>
        <w:t>TỜ TRÌNH</w:t>
      </w:r>
    </w:p>
    <w:p w:rsidR="003C17DE" w:rsidRPr="005C2CF6" w:rsidRDefault="005C2CF6" w:rsidP="003C17DE">
      <w:pPr>
        <w:widowControl w:val="0"/>
        <w:jc w:val="center"/>
        <w:rPr>
          <w:b/>
        </w:rPr>
      </w:pPr>
      <w:r w:rsidRPr="005C2CF6">
        <w:rPr>
          <w:b/>
          <w:spacing w:val="-8"/>
        </w:rPr>
        <w:t>Đề nghị xây dựng</w:t>
      </w:r>
      <w:r>
        <w:rPr>
          <w:b/>
          <w:spacing w:val="-8"/>
        </w:rPr>
        <w:t xml:space="preserve"> </w:t>
      </w:r>
      <w:r w:rsidR="00D45F10" w:rsidRPr="00D45F10">
        <w:rPr>
          <w:b/>
          <w:spacing w:val="-8"/>
          <w:lang w:val="nl-NL"/>
        </w:rPr>
        <w:t xml:space="preserve">Nghị quyết điều chỉnh </w:t>
      </w:r>
      <w:r w:rsidR="00833B90" w:rsidRPr="00833B90">
        <w:rPr>
          <w:b/>
          <w:spacing w:val="-8"/>
          <w:lang w:val="nl-NL"/>
        </w:rPr>
        <w:t xml:space="preserve">nội dung </w:t>
      </w:r>
      <w:r w:rsidR="00D45F10" w:rsidRPr="00D45F10">
        <w:rPr>
          <w:b/>
          <w:spacing w:val="-8"/>
          <w:lang w:val="nl-NL"/>
        </w:rPr>
        <w:t>hỗ trợ đầu tư xây dựng đối với nhà văn hóa thôn, tổ dân phố sau sáp nhập</w:t>
      </w:r>
    </w:p>
    <w:p w:rsidR="003C17DE" w:rsidRPr="00FC0DB6" w:rsidRDefault="003C17DE" w:rsidP="003C17DE">
      <w:pPr>
        <w:widowControl w:val="0"/>
        <w:jc w:val="center"/>
      </w:pPr>
      <w:r>
        <w:rPr>
          <w:b/>
          <w:noProof/>
        </w:rPr>
        <mc:AlternateContent>
          <mc:Choice Requires="wps">
            <w:drawing>
              <wp:anchor distT="0" distB="0" distL="114300" distR="114300" simplePos="0" relativeHeight="251662336" behindDoc="0" locked="0" layoutInCell="1" allowOverlap="1">
                <wp:simplePos x="0" y="0"/>
                <wp:positionH relativeFrom="column">
                  <wp:posOffset>1623060</wp:posOffset>
                </wp:positionH>
                <wp:positionV relativeFrom="paragraph">
                  <wp:posOffset>51435</wp:posOffset>
                </wp:positionV>
                <wp:extent cx="2339975" cy="0"/>
                <wp:effectExtent l="13335" t="13335" r="889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4671F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4.05pt" to="312.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rp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"/>
            </w:pict>
          </mc:Fallback>
        </mc:AlternateContent>
      </w:r>
    </w:p>
    <w:p w:rsidR="003C17DE" w:rsidRDefault="003C17DE" w:rsidP="003C17DE">
      <w:pPr>
        <w:spacing w:before="120" w:after="120"/>
        <w:ind w:firstLine="720"/>
        <w:jc w:val="center"/>
      </w:pPr>
      <w:r w:rsidRPr="00FC0DB6">
        <w:t>Kính gửi: Ủy ban nhân dân tỉnh</w:t>
      </w:r>
      <w:r>
        <w:t xml:space="preserve"> Hà nam</w:t>
      </w:r>
    </w:p>
    <w:p w:rsidR="003C17DE" w:rsidRPr="003D047D" w:rsidRDefault="003C17DE" w:rsidP="003C17DE">
      <w:pPr>
        <w:spacing w:before="120" w:after="120"/>
        <w:ind w:firstLine="720"/>
        <w:jc w:val="both"/>
        <w:rPr>
          <w:sz w:val="12"/>
        </w:rPr>
      </w:pPr>
    </w:p>
    <w:p w:rsidR="0034449B" w:rsidRPr="00587F44" w:rsidRDefault="003B6D3F" w:rsidP="00BC2501">
      <w:pPr>
        <w:tabs>
          <w:tab w:val="left" w:pos="630"/>
          <w:tab w:val="left" w:pos="3060"/>
          <w:tab w:val="left" w:pos="9356"/>
        </w:tabs>
        <w:spacing w:before="20"/>
        <w:ind w:firstLine="533"/>
        <w:jc w:val="both"/>
      </w:pPr>
      <w:r>
        <w:rPr>
          <w:rStyle w:val="fontstyle01"/>
        </w:rPr>
        <w:t>Căn cứ</w:t>
      </w:r>
      <w:r w:rsidR="00106940" w:rsidRPr="00587F44">
        <w:rPr>
          <w:rStyle w:val="fontstyle01"/>
        </w:rPr>
        <w:t xml:space="preserve"> quy định của Luật Ban hành văn bản quy phạm pháp luật số</w:t>
      </w:r>
      <w:r w:rsidR="00106940" w:rsidRPr="00587F44">
        <w:rPr>
          <w:color w:val="000000"/>
        </w:rPr>
        <w:br/>
      </w:r>
      <w:r w:rsidR="00106940" w:rsidRPr="00587F44">
        <w:rPr>
          <w:rStyle w:val="fontstyle01"/>
        </w:rPr>
        <w:t>80/2015/QH13 ngày 22 tháng 6 năm 2015; Luật sửa đổi, bổ sung một số điều của Luật Ban hành văn bản quy phạm pháp luật số 63/2020/QH14 ngày 18 tháng 6 năm 2020</w:t>
      </w:r>
      <w:r>
        <w:t xml:space="preserve">. Thực hiện </w:t>
      </w:r>
      <w:r>
        <w:rPr>
          <w:spacing w:val="-2"/>
          <w:lang w:val="nl-NL"/>
        </w:rPr>
        <w:t>Kết luận của đồng chí Bí thư Tỉnh ủy tại Hội nghị đối thoại giữa Bí thư Tỉnh ủy, đồng chí Chủ tịch UBND tỉnh với cán bộ và Nhân dân xã Đồng Du, huyện Bình Lục tại Thông báo số 1864-TB/VPTU ngày 24/11/2023 của Văn phòng Tỉnh ủy, chỉ đạo của UBND tỉnh,</w:t>
      </w:r>
      <w:r>
        <w:t xml:space="preserve"> </w:t>
      </w:r>
      <w:r w:rsidR="00BC2501">
        <w:rPr>
          <w:spacing w:val="-2"/>
          <w:lang w:val="nl-NL"/>
        </w:rPr>
        <w:t xml:space="preserve">Văn bản số 1548/UBND-TH ngày 07/8/2024 của UBND tỉnh về việc triển khai thực hiện Thông báo số 09/TB-TTHĐND ngày 25/7/2024 của Thường trực Hội đồng nhân dân tỉnh, </w:t>
      </w:r>
      <w:r w:rsidR="0034449B" w:rsidRPr="00587F44">
        <w:t xml:space="preserve">Sở </w:t>
      </w:r>
      <w:r w:rsidR="00673F97">
        <w:t>Kế hoạch và Đầu tư</w:t>
      </w:r>
      <w:r w:rsidR="0034449B" w:rsidRPr="00587F44">
        <w:t xml:space="preserve"> kính trình Ủy ban nhân dân tỉnh tỉnh Hà Nam đề nghị xây dựng </w:t>
      </w:r>
      <w:r w:rsidR="00B9741D" w:rsidRPr="00B9741D">
        <w:rPr>
          <w:spacing w:val="-8"/>
        </w:rPr>
        <w:t xml:space="preserve">Nghị quyết điều chỉnh </w:t>
      </w:r>
      <w:r w:rsidR="00917445">
        <w:rPr>
          <w:spacing w:val="-8"/>
        </w:rPr>
        <w:t>nội dung</w:t>
      </w:r>
      <w:r w:rsidR="00B9741D" w:rsidRPr="00B9741D">
        <w:rPr>
          <w:spacing w:val="-8"/>
        </w:rPr>
        <w:t xml:space="preserve"> hỗ trợ đầu tư xây dựng đối với nhà văn hóa thôn, tổ dân phố sau sáp nhập</w:t>
      </w:r>
      <w:r w:rsidR="00881EEB">
        <w:rPr>
          <w:spacing w:val="-8"/>
        </w:rPr>
        <w:t>.</w:t>
      </w:r>
    </w:p>
    <w:p w:rsidR="0034449B" w:rsidRPr="00587F44" w:rsidRDefault="0034449B" w:rsidP="00437DFD">
      <w:pPr>
        <w:spacing w:before="120" w:after="120"/>
        <w:ind w:firstLine="720"/>
        <w:jc w:val="both"/>
        <w:rPr>
          <w:b/>
        </w:rPr>
      </w:pPr>
      <w:r w:rsidRPr="00587F44">
        <w:rPr>
          <w:b/>
        </w:rPr>
        <w:t>I. SỰ CẦN THIẾT BAN HÀNH VĂN BẢN</w:t>
      </w:r>
    </w:p>
    <w:p w:rsidR="0034449B" w:rsidRPr="00587F44" w:rsidRDefault="0034449B" w:rsidP="00437DFD">
      <w:pPr>
        <w:spacing w:before="120" w:after="120"/>
        <w:ind w:firstLine="720"/>
        <w:jc w:val="both"/>
        <w:rPr>
          <w:b/>
        </w:rPr>
      </w:pPr>
      <w:r w:rsidRPr="00587F44">
        <w:rPr>
          <w:b/>
        </w:rPr>
        <w:t>1. Cơ sở chính trị, pháp lý</w:t>
      </w:r>
    </w:p>
    <w:p w:rsidR="00780D03" w:rsidRPr="00587F44" w:rsidRDefault="00780D03" w:rsidP="00437DFD">
      <w:pPr>
        <w:spacing w:before="120" w:after="120"/>
        <w:ind w:firstLine="567"/>
        <w:jc w:val="both"/>
        <w:rPr>
          <w:lang w:val="pt-BR"/>
        </w:rPr>
      </w:pPr>
      <w:r w:rsidRPr="00587F44">
        <w:rPr>
          <w:lang w:val="pt-BR"/>
        </w:rPr>
        <w:t>Căn cứ Luật Tổ chức chính quyền địa phương số 77/2015/QH13 đã được sửa đổi, bổ sung một số điều theo Luật số 47/2019/QH14;</w:t>
      </w:r>
    </w:p>
    <w:p w:rsidR="00780D03" w:rsidRPr="00587F44" w:rsidRDefault="00780D03" w:rsidP="00437DFD">
      <w:pPr>
        <w:spacing w:before="120" w:after="120"/>
        <w:ind w:firstLine="567"/>
        <w:jc w:val="both"/>
        <w:rPr>
          <w:spacing w:val="-10"/>
          <w:lang w:val="pt-BR"/>
        </w:rPr>
      </w:pPr>
      <w:r w:rsidRPr="00587F44">
        <w:rPr>
          <w:spacing w:val="-10"/>
          <w:lang w:val="pt-BR"/>
        </w:rPr>
        <w:t>Căn cứ Luật Ban hành văn bản quy phạm pháp luật ngày 22 tháng 6 năm 2015;</w:t>
      </w:r>
    </w:p>
    <w:p w:rsidR="00780D03" w:rsidRPr="00587F44" w:rsidRDefault="00780D03" w:rsidP="00437DFD">
      <w:pPr>
        <w:spacing w:before="120" w:after="120"/>
        <w:ind w:firstLine="567"/>
        <w:jc w:val="both"/>
        <w:rPr>
          <w:lang w:val="pt-BR"/>
        </w:rPr>
      </w:pPr>
      <w:r w:rsidRPr="00587F44">
        <w:rPr>
          <w:lang w:val="pt-BR"/>
        </w:rPr>
        <w:t>Căn cứ Luật Ngân sách Nhà nước ngày 25 tháng 6 năm 2015;</w:t>
      </w:r>
    </w:p>
    <w:p w:rsidR="00780D03" w:rsidRPr="00587F44" w:rsidRDefault="00780D03" w:rsidP="00437DFD">
      <w:pPr>
        <w:spacing w:before="120" w:after="120"/>
        <w:ind w:firstLine="567"/>
        <w:jc w:val="both"/>
        <w:rPr>
          <w:lang w:val="vi-VN"/>
        </w:rPr>
      </w:pPr>
      <w:r w:rsidRPr="00587F44">
        <w:rPr>
          <w:lang w:val="pt-BR"/>
        </w:rPr>
        <w:t>Căn cứ các Nghị định của Chính phủ: Số 34/2016/NĐ-CP ngày 14 tháng 5 năm 2016 quy định chi tiết một số điều và biện pháp thi hành luật ban hà</w:t>
      </w:r>
      <w:r w:rsidR="006114B7" w:rsidRPr="00587F44">
        <w:rPr>
          <w:lang w:val="pt-BR"/>
        </w:rPr>
        <w:t xml:space="preserve">nh văn bản quy phạm pháp luật; </w:t>
      </w:r>
      <w:r w:rsidRPr="00587F44">
        <w:rPr>
          <w:lang w:val="pt-BR"/>
        </w:rPr>
        <w:t xml:space="preserve">Số 154/2020/NĐ-CP ngày 31 tháng 12 năm 2020 sửa đổi, bổ sung một số điều của Nghị định số 34/2016/NĐ-CP ngày 14 tháng 5 năm 2016 quy định chi tiết một số điều và biện pháp thi hành luật ban hành văn bản quy phạm pháp luật; </w:t>
      </w:r>
      <w:r w:rsidR="006114B7" w:rsidRPr="00587F44">
        <w:t xml:space="preserve">Số 59/2024/NĐ-CP ngày 25 tháng 5 năm 2024 của Chính phủ sửa đổi, bổ sung một số điều của </w:t>
      </w:r>
      <w:r w:rsidR="006114B7" w:rsidRPr="00587F44">
        <w:rPr>
          <w:lang w:val="vi-VN"/>
        </w:rPr>
        <w:t>Nghị định số 34/2016/NĐ-CP ngày 14 tháng 5 năm 2016 của Chính phủ quy định chi tiết một số điều và biện pháp thi hành Luật ban hành văn bản quy phạm pháp luật</w:t>
      </w:r>
      <w:r w:rsidR="006114B7" w:rsidRPr="00587F44">
        <w:t xml:space="preserve"> đã được sửa đổi, bổ sung một số điều theo Nghị định số 154/2020/NĐ-CP ngày 31 tháng 12  năm 2020 của Chính phủ; </w:t>
      </w:r>
      <w:r w:rsidRPr="00587F44">
        <w:rPr>
          <w:lang w:val="pt-BR"/>
        </w:rPr>
        <w:t xml:space="preserve">Số </w:t>
      </w:r>
      <w:hyperlink r:id="rId8" w:tgtFrame="_blank" w:tooltip="Nghị định 163/2016/NĐ-CP" w:history="1">
        <w:r w:rsidRPr="00587F44">
          <w:rPr>
            <w:iCs/>
            <w:lang w:val="vi-VN"/>
          </w:rPr>
          <w:t>163/2016/NĐ-CP</w:t>
        </w:r>
      </w:hyperlink>
      <w:r w:rsidRPr="00587F44">
        <w:rPr>
          <w:iCs/>
          <w:color w:val="000000"/>
          <w:lang w:val="vi-VN"/>
        </w:rPr>
        <w:t xml:space="preserve"> ngày 21 tháng 12 năm 2016 quy định chi tiết thi hành một số điều của Luật Ngân sách nhà nước; </w:t>
      </w:r>
    </w:p>
    <w:p w:rsidR="00157EB5" w:rsidRDefault="00157EB5" w:rsidP="00157EB5">
      <w:pPr>
        <w:spacing w:before="120" w:after="120" w:line="288" w:lineRule="auto"/>
        <w:ind w:firstLine="720"/>
        <w:jc w:val="both"/>
        <w:rPr>
          <w:spacing w:val="-2"/>
          <w:lang w:val="nl-NL"/>
        </w:rPr>
      </w:pPr>
      <w:bookmarkStart w:id="1" w:name="_Hlk126522572"/>
      <w:r w:rsidRPr="00567F85">
        <w:rPr>
          <w:spacing w:val="-2"/>
          <w:lang w:val="nl-NL"/>
        </w:rPr>
        <w:lastRenderedPageBreak/>
        <w:t xml:space="preserve">Căn cứ </w:t>
      </w:r>
      <w:bookmarkEnd w:id="1"/>
      <w:r w:rsidRPr="00567F85">
        <w:rPr>
          <w:spacing w:val="-2"/>
          <w:lang w:val="nl-NL"/>
        </w:rPr>
        <w:t>Nghị quyết số 39/2019/NQ-HĐND ngày 30/6/2023 của HĐND tỉnh quy định mức hỗ trợ đầu tư xây dựng đối với nhà văn hoá thôn, tổ dân phố sau sáp nhập theo các Nghị quyết của HĐND tỉnh;</w:t>
      </w:r>
    </w:p>
    <w:p w:rsidR="00EC49E2" w:rsidRDefault="00EC49E2" w:rsidP="00437DFD">
      <w:pPr>
        <w:tabs>
          <w:tab w:val="left" w:pos="567"/>
        </w:tabs>
        <w:spacing w:before="120" w:after="120"/>
        <w:ind w:firstLine="720"/>
        <w:jc w:val="both"/>
        <w:rPr>
          <w:bCs/>
          <w:iCs/>
          <w:lang w:val="nl-NL"/>
        </w:rPr>
      </w:pPr>
      <w:r>
        <w:rPr>
          <w:bCs/>
          <w:iCs/>
          <w:lang w:val="nl-NL"/>
        </w:rPr>
        <w:t xml:space="preserve">Căn cứ các Quyết định của UBND tỉnh: </w:t>
      </w:r>
      <w:r w:rsidRPr="002D1CF7">
        <w:rPr>
          <w:bCs/>
          <w:iCs/>
          <w:lang w:val="nl-NL"/>
        </w:rPr>
        <w:t>số 47/QĐ-UBND ngày 12/01/2024 về việc ban hành Chương trình công tác năm 2024 của UBND tỉnh;</w:t>
      </w:r>
      <w:r>
        <w:rPr>
          <w:bCs/>
          <w:iCs/>
          <w:lang w:val="nl-NL"/>
        </w:rPr>
        <w:t xml:space="preserve"> số 03/2019/QĐ-UBND ngày 21/3/2019 của UBND tỉnh s</w:t>
      </w:r>
      <w:r w:rsidRPr="00F61DBA">
        <w:rPr>
          <w:bCs/>
          <w:iCs/>
          <w:lang w:val="nl-NL"/>
        </w:rPr>
        <w:t>ửa đổi, bổ sung một số Điều của “Quy chế tổ chức và hoạt động của thôn, tổ dân phố trên địa bàn tỉnh Hà Nam”, ban hành kèm theo Quyết định số 37/2013/QĐ-UBND ngày 01 tháng 8 năm 2013 của Ủy ban nhân dân tỉn</w:t>
      </w:r>
      <w:r>
        <w:rPr>
          <w:bCs/>
          <w:iCs/>
          <w:lang w:val="nl-NL"/>
        </w:rPr>
        <w:t xml:space="preserve">h; </w:t>
      </w:r>
      <w:r w:rsidRPr="00F61DBA">
        <w:rPr>
          <w:bCs/>
          <w:iCs/>
          <w:lang w:val="nl-NL"/>
        </w:rPr>
        <w:t xml:space="preserve">số 37/2013/QĐ-UBND ngày 01 tháng 8 năm 2013 </w:t>
      </w:r>
      <w:r>
        <w:rPr>
          <w:bCs/>
          <w:iCs/>
          <w:lang w:val="nl-NL"/>
        </w:rPr>
        <w:t xml:space="preserve">về </w:t>
      </w:r>
      <w:r w:rsidRPr="00F61DBA">
        <w:rPr>
          <w:bCs/>
          <w:iCs/>
          <w:lang w:val="nl-NL"/>
        </w:rPr>
        <w:t>Quy chế tổ chức và hoạt động của thôn, tổ dân phố trên địa bàn tỉnh Hà Nam</w:t>
      </w:r>
      <w:r>
        <w:rPr>
          <w:bCs/>
          <w:iCs/>
          <w:lang w:val="nl-NL"/>
        </w:rPr>
        <w:t>;</w:t>
      </w:r>
    </w:p>
    <w:p w:rsidR="00F20607" w:rsidRDefault="00F20607" w:rsidP="00F20607">
      <w:pPr>
        <w:tabs>
          <w:tab w:val="left" w:pos="630"/>
          <w:tab w:val="left" w:pos="3060"/>
          <w:tab w:val="left" w:pos="9356"/>
        </w:tabs>
        <w:spacing w:before="20"/>
        <w:ind w:firstLine="533"/>
        <w:jc w:val="both"/>
        <w:rPr>
          <w:spacing w:val="-2"/>
          <w:lang w:val="nl-NL"/>
        </w:rPr>
      </w:pPr>
      <w:r>
        <w:rPr>
          <w:spacing w:val="-2"/>
          <w:lang w:val="nl-NL"/>
        </w:rPr>
        <w:t>Căn cứ Văn bản số 1548/UBND-TH ngày 07/8/2024 của UBND tỉnh về việc triển khai thực hiện Thông báo số 09/TB-TTHĐND ngày 25/7/2024 của Thường trực Hội đồng nhân dân tỉnh</w:t>
      </w:r>
      <w:r w:rsidR="00B97306">
        <w:rPr>
          <w:spacing w:val="-2"/>
          <w:lang w:val="nl-NL"/>
        </w:rPr>
        <w:t>.</w:t>
      </w:r>
    </w:p>
    <w:p w:rsidR="0034449B" w:rsidRPr="00587F44" w:rsidRDefault="0034449B" w:rsidP="00437DFD">
      <w:pPr>
        <w:spacing w:before="120" w:after="120"/>
        <w:ind w:firstLine="720"/>
        <w:jc w:val="both"/>
        <w:rPr>
          <w:b/>
        </w:rPr>
      </w:pPr>
      <w:r w:rsidRPr="00587F44">
        <w:rPr>
          <w:b/>
        </w:rPr>
        <w:t>2. Cơ sở thực tiễn</w:t>
      </w:r>
    </w:p>
    <w:p w:rsidR="00E440C6" w:rsidRDefault="00FD2D09" w:rsidP="00437DFD">
      <w:pPr>
        <w:spacing w:before="120" w:after="120"/>
        <w:ind w:firstLine="709"/>
        <w:jc w:val="both"/>
      </w:pPr>
      <w:r w:rsidRPr="008B2070">
        <w:t xml:space="preserve">Việc sáp nhập thôn, tổ dân phố đã đem lại nhiều lợi ích thiết thực </w:t>
      </w:r>
      <w:r w:rsidRPr="008B2070">
        <w:rPr>
          <w:i/>
        </w:rPr>
        <w:t>(giảm số lượng người hoạt động không chuyên trách ở thôn, tổ dân phố; góp phần giảm chi ngân sách, nâng cao chất lượng hoạt động hiệu lực, hiệu quả của hệ thống chính trị…)</w:t>
      </w:r>
      <w:r w:rsidRPr="008B2070">
        <w:t xml:space="preserve">. Tuy nhiên, bên cạnh đó phát sinh một số vấn đề bất cập, rõ nhất hiện nay chính là việc sử dụng nhà văn hóa thôn, tổ dân phố. Sau khi sáp nhập, số hộ, nhân khẩu của các thôn được sáp nhập tăng lên, trong khi đa phần các nhà văn hóa cũ của các thôn đều được xây dựng từ trước, quy mô hoạt động nhỏ, không đủ đáp ứng nhu cầu sinh hoạt cộng đồng cho các thôn sau khi được sáp nhập. </w:t>
      </w:r>
    </w:p>
    <w:p w:rsidR="00E440C6" w:rsidRPr="00325A99" w:rsidRDefault="00E440C6" w:rsidP="00437DFD">
      <w:pPr>
        <w:spacing w:before="120" w:after="120"/>
        <w:ind w:firstLine="720"/>
        <w:jc w:val="both"/>
        <w:rPr>
          <w:i/>
          <w:spacing w:val="-2"/>
          <w:lang w:val="nl-NL"/>
        </w:rPr>
      </w:pPr>
      <w:r w:rsidRPr="007B0598">
        <w:rPr>
          <w:spacing w:val="-2"/>
          <w:lang w:val="nl-NL"/>
        </w:rPr>
        <w:t xml:space="preserve">Nghị quyết số 39/2019/NQ-HĐND được ban hành năm 2019 quy định việc hỗ trợ xây dựng các nhà văn hoá thôn, tổ dân phố sau sáp nhập theo các Nghị quyết của HĐND tỉnh. Qua gần 5 năm thực hiện, việc thực hiện nghị quyết đã góp phần giảm bớt khó khăn cho </w:t>
      </w:r>
      <w:r w:rsidRPr="007B0598">
        <w:rPr>
          <w:bCs/>
          <w:iCs/>
        </w:rPr>
        <w:t>cho ngân sách xã, phường và đóng góp của nhân dân thông qua việc hỗ trợ đầu tư xây dựng từ nguồn ngân sách tỉnh</w:t>
      </w:r>
      <w:r>
        <w:rPr>
          <w:bCs/>
          <w:iCs/>
        </w:rPr>
        <w:t xml:space="preserve">. Kết quả đến nay, tổng số nhà văn hóa đã hỗ trợ: 111 nhà văn hóa với số tiền 11,9 tỷ đồng từ nguồn vốn sự nghiệp. </w:t>
      </w:r>
      <w:r w:rsidRPr="00325A99">
        <w:rPr>
          <w:bCs/>
          <w:i/>
          <w:iCs/>
        </w:rPr>
        <w:t>(trong đó: huyện Bình Lục 1,14 tỷ đồng/ 8 nhà; Lý Nhân 7,79 tỷ đồng/ 82 nhà; Thanh Liêm 2,6 tỷ đồng/ 18 nhà; Duy Tiên 400 triệu đồng/ 03 nhà).</w:t>
      </w:r>
    </w:p>
    <w:p w:rsidR="00E440C6" w:rsidRDefault="00E440C6" w:rsidP="00437DFD">
      <w:pPr>
        <w:spacing w:before="120" w:after="120"/>
        <w:ind w:firstLine="720"/>
        <w:jc w:val="both"/>
        <w:rPr>
          <w:spacing w:val="-2"/>
          <w:lang w:val="nl-NL"/>
        </w:rPr>
      </w:pPr>
      <w:r w:rsidRPr="00B31FE6">
        <w:rPr>
          <w:spacing w:val="-2"/>
          <w:lang w:val="nl-NL"/>
        </w:rPr>
        <w:t xml:space="preserve">Tuy nhiên, </w:t>
      </w:r>
      <w:r>
        <w:rPr>
          <w:spacing w:val="-2"/>
          <w:lang w:val="nl-NL"/>
        </w:rPr>
        <w:t>trong quá trình triển khai, các địa phương gặp một số khó khăn như sau:</w:t>
      </w:r>
    </w:p>
    <w:p w:rsidR="00E440C6" w:rsidRPr="00B31FE6" w:rsidRDefault="00E440C6" w:rsidP="00437DFD">
      <w:pPr>
        <w:spacing w:before="120" w:after="120"/>
        <w:ind w:firstLine="720"/>
        <w:jc w:val="both"/>
        <w:rPr>
          <w:spacing w:val="-2"/>
          <w:lang w:val="nl-NL"/>
        </w:rPr>
      </w:pPr>
      <w:r>
        <w:rPr>
          <w:spacing w:val="-2"/>
          <w:lang w:val="nl-NL"/>
        </w:rPr>
        <w:t>- Mức hỗ trợ tại NQ 39 chỉ đáp ứng một phần chi phí trong tổng thể công trình. Đối với những xã, thôn, nhân dân có điều kiện khó khăn rất khó có thể huy động phần còn lại để hoàn thành công trình.</w:t>
      </w:r>
    </w:p>
    <w:p w:rsidR="00E440C6" w:rsidRDefault="00E440C6" w:rsidP="00437DFD">
      <w:pPr>
        <w:spacing w:before="120" w:after="120"/>
        <w:ind w:firstLine="720"/>
        <w:jc w:val="both"/>
        <w:rPr>
          <w:spacing w:val="-2"/>
          <w:lang w:val="nl-NL"/>
        </w:rPr>
      </w:pPr>
      <w:r>
        <w:rPr>
          <w:spacing w:val="-2"/>
          <w:lang w:val="nl-NL"/>
        </w:rPr>
        <w:t xml:space="preserve">- Tổng chi phí xây dựng hiện nay đã tăng lên so với thời điểm năm 2019 xây dựng nghị quyết (do giá vật liệu, nhân công tăng...). </w:t>
      </w:r>
    </w:p>
    <w:p w:rsidR="00E440C6" w:rsidRPr="001E5F19" w:rsidRDefault="00E440C6" w:rsidP="00437DFD">
      <w:pPr>
        <w:spacing w:before="120" w:after="120"/>
        <w:ind w:firstLine="720"/>
        <w:jc w:val="both"/>
        <w:rPr>
          <w:spacing w:val="-2"/>
          <w:lang w:val="nl-NL"/>
        </w:rPr>
      </w:pPr>
      <w:r>
        <w:rPr>
          <w:spacing w:val="-2"/>
          <w:lang w:val="nl-NL"/>
        </w:rPr>
        <w:t xml:space="preserve">Do đó, Chính quyền </w:t>
      </w:r>
      <w:r w:rsidRPr="00AE390F">
        <w:rPr>
          <w:spacing w:val="-2"/>
          <w:lang w:val="nl-NL"/>
        </w:rPr>
        <w:t xml:space="preserve">các địa phương </w:t>
      </w:r>
      <w:r>
        <w:rPr>
          <w:spacing w:val="-2"/>
          <w:lang w:val="nl-NL"/>
        </w:rPr>
        <w:t xml:space="preserve">và nhân dân </w:t>
      </w:r>
      <w:r w:rsidRPr="00AE390F">
        <w:rPr>
          <w:spacing w:val="-2"/>
          <w:lang w:val="nl-NL"/>
        </w:rPr>
        <w:t>kiến nghị tỉnh nghiên cứu tăng mức hỗ trợ</w:t>
      </w:r>
      <w:r>
        <w:rPr>
          <w:spacing w:val="-2"/>
          <w:lang w:val="nl-NL"/>
        </w:rPr>
        <w:t xml:space="preserve"> cho phù hợp. Từ thực tế trên, để giảm </w:t>
      </w:r>
      <w:r w:rsidRPr="00AE390F">
        <w:rPr>
          <w:spacing w:val="-2"/>
          <w:lang w:val="nl-NL"/>
        </w:rPr>
        <w:t>bớt khó khăn cho các xã</w:t>
      </w:r>
      <w:r>
        <w:rPr>
          <w:spacing w:val="-2"/>
          <w:lang w:val="nl-NL"/>
        </w:rPr>
        <w:t xml:space="preserve">, </w:t>
      </w:r>
      <w:r w:rsidRPr="00AE390F">
        <w:rPr>
          <w:spacing w:val="-2"/>
          <w:lang w:val="nl-NL"/>
        </w:rPr>
        <w:lastRenderedPageBreak/>
        <w:t xml:space="preserve">giúp các thôn, tổ dân phố hoàn thành các thiết chế văn hóa theo các tiêu chí quy định tại Thông tư 05/2014/TT-BVHTTDL ngày </w:t>
      </w:r>
      <w:r>
        <w:rPr>
          <w:spacing w:val="-2"/>
          <w:lang w:val="nl-NL"/>
        </w:rPr>
        <w:t xml:space="preserve">30/5/2014 của Bộ Văn hóa Thể thao và Du lịch, việc nghiên cứu điều chỉnh mức hỗ trợ </w:t>
      </w:r>
      <w:r w:rsidRPr="001E5F19">
        <w:rPr>
          <w:spacing w:val="-2"/>
          <w:lang w:val="nl-NL"/>
        </w:rPr>
        <w:t>đầu tư xây dựng đối với nhà văn hoá thôn, tổ dân phố sau sáp nhập theo các Nghị quyết của HĐND tỉnh</w:t>
      </w:r>
      <w:r>
        <w:rPr>
          <w:spacing w:val="-2"/>
          <w:lang w:val="nl-NL"/>
        </w:rPr>
        <w:t xml:space="preserve"> là cần thiết.</w:t>
      </w:r>
    </w:p>
    <w:p w:rsidR="0034449B" w:rsidRPr="002B5C04" w:rsidRDefault="0034449B" w:rsidP="00437DFD">
      <w:pPr>
        <w:spacing w:before="120" w:after="120"/>
        <w:ind w:firstLine="720"/>
        <w:jc w:val="both"/>
        <w:rPr>
          <w:rFonts w:ascii="Times New Roman Bold" w:hAnsi="Times New Roman Bold"/>
          <w:b/>
          <w:spacing w:val="-8"/>
        </w:rPr>
      </w:pPr>
      <w:r w:rsidRPr="002B5C04">
        <w:rPr>
          <w:rFonts w:ascii="Times New Roman Bold" w:hAnsi="Times New Roman Bold"/>
          <w:b/>
          <w:spacing w:val="-8"/>
        </w:rPr>
        <w:t xml:space="preserve">II. MỤC ĐÍCH BAN HÀNH, QUAN ĐIỂM XÂY DỰNG </w:t>
      </w:r>
      <w:r w:rsidR="001450B3" w:rsidRPr="002B5C04">
        <w:rPr>
          <w:rFonts w:ascii="Times New Roman Bold" w:hAnsi="Times New Roman Bold"/>
          <w:b/>
          <w:spacing w:val="-8"/>
        </w:rPr>
        <w:t>NGHỊ QUYẾT</w:t>
      </w:r>
    </w:p>
    <w:p w:rsidR="00B9597C" w:rsidRPr="008509CF" w:rsidRDefault="004225FF" w:rsidP="00437DFD">
      <w:pPr>
        <w:spacing w:before="120" w:after="120"/>
        <w:ind w:firstLine="720"/>
        <w:jc w:val="both"/>
        <w:rPr>
          <w:spacing w:val="-4"/>
        </w:rPr>
      </w:pPr>
      <w:r>
        <w:rPr>
          <w:spacing w:val="-2"/>
          <w:lang w:val="it-IT"/>
        </w:rPr>
        <w:t>Ban hành Nghị quyết của Hội đồng nhân dân tỉnh để t</w:t>
      </w:r>
      <w:r w:rsidR="00423C7C">
        <w:rPr>
          <w:spacing w:val="-2"/>
          <w:lang w:val="it-IT"/>
        </w:rPr>
        <w:t>ăng mức hỗ trợ</w:t>
      </w:r>
      <w:r w:rsidR="004A2025">
        <w:rPr>
          <w:spacing w:val="-2"/>
          <w:lang w:val="it-IT"/>
        </w:rPr>
        <w:t xml:space="preserve"> </w:t>
      </w:r>
      <w:r w:rsidR="000B7A4B">
        <w:rPr>
          <w:spacing w:val="-2"/>
          <w:lang w:val="it-IT"/>
        </w:rPr>
        <w:t>đ</w:t>
      </w:r>
      <w:r w:rsidR="004A2025" w:rsidRPr="001E5F19">
        <w:rPr>
          <w:spacing w:val="-2"/>
          <w:lang w:val="nl-NL"/>
        </w:rPr>
        <w:t>ầu tư xây dựng đối với nhà văn hoá thôn, tổ dân phố sau sáp nhập theo các Nghị quyết của HĐND tỉnh</w:t>
      </w:r>
      <w:r w:rsidR="000B7A4B">
        <w:rPr>
          <w:lang w:val="pt-BR"/>
        </w:rPr>
        <w:t xml:space="preserve"> đối với các địa phương còn khó khăn chưa được hỗ trợ theo </w:t>
      </w:r>
      <w:r w:rsidR="00BB4A82" w:rsidRPr="007B0598">
        <w:rPr>
          <w:spacing w:val="-2"/>
          <w:lang w:val="nl-NL"/>
        </w:rPr>
        <w:t>Nghị quyết số 39/2019/NQ-HĐND</w:t>
      </w:r>
      <w:r w:rsidR="00BB4A82">
        <w:rPr>
          <w:spacing w:val="-2"/>
          <w:lang w:val="nl-NL"/>
        </w:rPr>
        <w:t xml:space="preserve"> của HĐND tỉnh, phấn đấu sớm hoàn thiện các thiết chế văn hoá cở sở ở địa phương </w:t>
      </w:r>
      <w:r w:rsidR="004B60D1">
        <w:rPr>
          <w:spacing w:val="-2"/>
          <w:lang w:val="nl-NL"/>
        </w:rPr>
        <w:t xml:space="preserve">để </w:t>
      </w:r>
      <w:r w:rsidR="009D5973">
        <w:rPr>
          <w:spacing w:val="-2"/>
          <w:lang w:val="nl-NL"/>
        </w:rPr>
        <w:t xml:space="preserve">đáp ứng cơ sở vật chất nhằm </w:t>
      </w:r>
      <w:r w:rsidR="009D5973" w:rsidRPr="009D5973">
        <w:rPr>
          <w:spacing w:val="-2"/>
          <w:lang w:val="vi-VN"/>
        </w:rPr>
        <w:t>tổ chức các hoạt động văn hóa, thể thao trên địa bàn dân cư, đáp ứng nhu cầu sáng tạo, hưởng thụ văn hóa, thể thao của các tầng lớp nhân dân; đồng thời làm nhiệm vụ tuyên truyền, cổ động phục vụ các nhiệm vụ chính </w:t>
      </w:r>
      <w:r w:rsidR="009D5973" w:rsidRPr="009D5973">
        <w:rPr>
          <w:spacing w:val="-2"/>
        </w:rPr>
        <w:t>tr</w:t>
      </w:r>
      <w:r w:rsidR="009D5973" w:rsidRPr="009D5973">
        <w:rPr>
          <w:spacing w:val="-2"/>
          <w:lang w:val="vi-VN"/>
        </w:rPr>
        <w:t>ị của Trung ương và địa phương</w:t>
      </w:r>
      <w:r w:rsidR="008509CF">
        <w:rPr>
          <w:spacing w:val="-2"/>
        </w:rPr>
        <w:t>.</w:t>
      </w:r>
    </w:p>
    <w:p w:rsidR="0034449B" w:rsidRPr="00587F44" w:rsidRDefault="0034449B" w:rsidP="00437DFD">
      <w:pPr>
        <w:spacing w:before="120" w:after="120"/>
        <w:ind w:firstLine="720"/>
        <w:jc w:val="both"/>
        <w:rPr>
          <w:b/>
        </w:rPr>
      </w:pPr>
      <w:r w:rsidRPr="00587F44">
        <w:rPr>
          <w:b/>
        </w:rPr>
        <w:t xml:space="preserve">III. PHẠM VI </w:t>
      </w:r>
      <w:r w:rsidR="000F70C8">
        <w:rPr>
          <w:b/>
        </w:rPr>
        <w:t>ĐIỀU CHỈNH</w:t>
      </w:r>
      <w:r w:rsidRPr="00587F44">
        <w:rPr>
          <w:b/>
        </w:rPr>
        <w:t>, ĐỐI TƯỢNG ÁP DỤNG VĂN BẢN</w:t>
      </w:r>
    </w:p>
    <w:p w:rsidR="0034449B" w:rsidRPr="00587F44" w:rsidRDefault="0034449B" w:rsidP="00437DFD">
      <w:pPr>
        <w:spacing w:before="120" w:after="120"/>
        <w:ind w:firstLine="720"/>
        <w:jc w:val="both"/>
        <w:rPr>
          <w:b/>
        </w:rPr>
      </w:pPr>
      <w:r w:rsidRPr="00587F44">
        <w:rPr>
          <w:b/>
        </w:rPr>
        <w:t>1. Phạm vi điều chỉnh</w:t>
      </w:r>
    </w:p>
    <w:p w:rsidR="004C0224" w:rsidRPr="00587F44" w:rsidRDefault="004C0224" w:rsidP="00437DFD">
      <w:pPr>
        <w:spacing w:before="120" w:after="120"/>
        <w:ind w:firstLine="720"/>
        <w:jc w:val="both"/>
      </w:pPr>
      <w:r w:rsidRPr="00587F44">
        <w:rPr>
          <w:lang w:val="pt-BR"/>
        </w:rPr>
        <w:t>C</w:t>
      </w:r>
      <w:r w:rsidRPr="00587F44">
        <w:t xml:space="preserve">hính sách </w:t>
      </w:r>
      <w:r w:rsidR="00AB1EE0">
        <w:t xml:space="preserve">này điều </w:t>
      </w:r>
      <w:r w:rsidR="00EB12DD">
        <w:rPr>
          <w:spacing w:val="-2"/>
          <w:lang w:val="nl-NL"/>
        </w:rPr>
        <w:t xml:space="preserve">chỉnh mức hỗ trợ </w:t>
      </w:r>
      <w:r w:rsidR="00AB1EE0">
        <w:rPr>
          <w:spacing w:val="-2"/>
          <w:lang w:val="nl-NL"/>
        </w:rPr>
        <w:t xml:space="preserve">ngân sách tỉnh để </w:t>
      </w:r>
      <w:r w:rsidR="00EB12DD" w:rsidRPr="001E5F19">
        <w:rPr>
          <w:spacing w:val="-2"/>
          <w:lang w:val="nl-NL"/>
        </w:rPr>
        <w:t>đầu tư xây dựng đối với nhà văn hoá thôn, tổ dân phố sau sáp nhập theo các Nghị quyết của HĐND tỉnh</w:t>
      </w:r>
      <w:r w:rsidRPr="00587F44">
        <w:t xml:space="preserve"> </w:t>
      </w:r>
      <w:r w:rsidRPr="00587F44">
        <w:rPr>
          <w:lang w:val="pt-BR"/>
        </w:rPr>
        <w:t>quy định tại Nghị quyết này</w:t>
      </w:r>
      <w:r w:rsidR="00AB1EE0">
        <w:rPr>
          <w:lang w:val="pt-BR"/>
        </w:rPr>
        <w:t>,</w:t>
      </w:r>
      <w:r w:rsidRPr="00587F44">
        <w:rPr>
          <w:lang w:val="pt-BR"/>
        </w:rPr>
        <w:t xml:space="preserve"> áp dụng trong phạm vi </w:t>
      </w:r>
      <w:r w:rsidRPr="00587F44">
        <w:t>tỉnh Hà Nam</w:t>
      </w:r>
      <w:r w:rsidR="00856C8F" w:rsidRPr="00587F44">
        <w:t>.</w:t>
      </w:r>
    </w:p>
    <w:p w:rsidR="0034449B" w:rsidRPr="00587F44" w:rsidRDefault="0034449B" w:rsidP="00437DFD">
      <w:pPr>
        <w:spacing w:before="120" w:after="120"/>
        <w:ind w:firstLine="720"/>
        <w:jc w:val="both"/>
        <w:rPr>
          <w:b/>
        </w:rPr>
      </w:pPr>
      <w:r w:rsidRPr="00587F44">
        <w:rPr>
          <w:b/>
        </w:rPr>
        <w:t>2. Đối tượng áp dụng</w:t>
      </w:r>
    </w:p>
    <w:p w:rsidR="00D5587D" w:rsidRDefault="00F002C1" w:rsidP="00437DFD">
      <w:pPr>
        <w:spacing w:before="120" w:after="120"/>
        <w:ind w:firstLine="720"/>
        <w:jc w:val="both"/>
        <w:rPr>
          <w:b/>
        </w:rPr>
      </w:pPr>
      <w:r>
        <w:rPr>
          <w:spacing w:val="-2"/>
          <w:lang w:val="nl-NL"/>
        </w:rPr>
        <w:t xml:space="preserve">Các địa phương có </w:t>
      </w:r>
      <w:r w:rsidR="00D5587D">
        <w:rPr>
          <w:spacing w:val="-2"/>
          <w:lang w:val="nl-NL"/>
        </w:rPr>
        <w:t>N</w:t>
      </w:r>
      <w:r w:rsidR="006035D1" w:rsidRPr="001E5F19">
        <w:rPr>
          <w:spacing w:val="-2"/>
          <w:lang w:val="nl-NL"/>
        </w:rPr>
        <w:t>hà văn hoá thôn, tổ dân phố sau sáp nhập theo các Nghị quyết của HĐND tỉnh</w:t>
      </w:r>
      <w:r w:rsidR="000F70C8">
        <w:rPr>
          <w:spacing w:val="-2"/>
          <w:lang w:val="nl-NL"/>
        </w:rPr>
        <w:t>.</w:t>
      </w:r>
      <w:r w:rsidR="006035D1" w:rsidRPr="00587F44">
        <w:rPr>
          <w:b/>
        </w:rPr>
        <w:t xml:space="preserve"> </w:t>
      </w:r>
    </w:p>
    <w:p w:rsidR="0034449B" w:rsidRPr="00587F44" w:rsidRDefault="0034449B" w:rsidP="00437DFD">
      <w:pPr>
        <w:spacing w:before="120" w:after="120"/>
        <w:ind w:firstLine="720"/>
        <w:jc w:val="both"/>
        <w:rPr>
          <w:b/>
        </w:rPr>
      </w:pPr>
      <w:r w:rsidRPr="00587F44">
        <w:rPr>
          <w:b/>
        </w:rPr>
        <w:t>IV. MỤC TIÊU, NỘI DUNG CỦA CHÍNH SÁCH, GIẢI PHÁP THỰC HIỆN CHÍNH SÁCH TRONG ĐỀ NGHỊ XÂY DỰNG VĂN BẢN</w:t>
      </w:r>
    </w:p>
    <w:p w:rsidR="00F85F8C" w:rsidRPr="00F85F8C" w:rsidRDefault="00F77CEF" w:rsidP="00437DFD">
      <w:pPr>
        <w:spacing w:before="120" w:after="120"/>
        <w:ind w:firstLine="720"/>
        <w:jc w:val="both"/>
        <w:rPr>
          <w:spacing w:val="-8"/>
        </w:rPr>
      </w:pPr>
      <w:r w:rsidRPr="00587F44">
        <w:rPr>
          <w:b/>
        </w:rPr>
        <w:t>Tên Nghị quyết:</w:t>
      </w:r>
      <w:r w:rsidRPr="00587F44">
        <w:t xml:space="preserve"> </w:t>
      </w:r>
      <w:r w:rsidR="00D17AC9" w:rsidRPr="00D17AC9">
        <w:rPr>
          <w:spacing w:val="-8"/>
        </w:rPr>
        <w:t xml:space="preserve">Nghị quyết điều chỉnh </w:t>
      </w:r>
      <w:r w:rsidR="002D2156">
        <w:rPr>
          <w:spacing w:val="-8"/>
        </w:rPr>
        <w:t xml:space="preserve">nội dung </w:t>
      </w:r>
      <w:r w:rsidR="00D17AC9" w:rsidRPr="00D17AC9">
        <w:rPr>
          <w:spacing w:val="-8"/>
        </w:rPr>
        <w:t>hỗ trợ đầu tư xây dựng đối với nhà văn hóa thôn, tổ dân phố sau sáp nhập</w:t>
      </w:r>
      <w:r w:rsidR="00F85F8C">
        <w:rPr>
          <w:spacing w:val="-8"/>
        </w:rPr>
        <w:t>.</w:t>
      </w:r>
    </w:p>
    <w:p w:rsidR="0034449B" w:rsidRPr="00587F44" w:rsidRDefault="00F77CEF" w:rsidP="00437DFD">
      <w:pPr>
        <w:spacing w:before="120" w:after="120"/>
        <w:ind w:firstLine="720"/>
        <w:jc w:val="both"/>
        <w:rPr>
          <w:b/>
        </w:rPr>
      </w:pPr>
      <w:r w:rsidRPr="00587F44">
        <w:rPr>
          <w:b/>
        </w:rPr>
        <w:t>1. Mục tiêu của Nghị quyết</w:t>
      </w:r>
    </w:p>
    <w:p w:rsidR="00B9597C" w:rsidRPr="00587F44" w:rsidRDefault="00B9597C" w:rsidP="00437DFD">
      <w:pPr>
        <w:spacing w:before="120" w:after="120"/>
        <w:ind w:firstLine="720"/>
        <w:jc w:val="both"/>
        <w:rPr>
          <w:lang w:val="nb-NO"/>
        </w:rPr>
      </w:pPr>
      <w:r w:rsidRPr="00587F44">
        <w:rPr>
          <w:lang w:val="nb-NO"/>
        </w:rPr>
        <w:t>Chính sách được xây dựng nhằm:</w:t>
      </w:r>
    </w:p>
    <w:p w:rsidR="00EF699A" w:rsidRDefault="000237CB" w:rsidP="00437DFD">
      <w:pPr>
        <w:spacing w:before="120" w:after="120"/>
        <w:ind w:firstLine="720"/>
        <w:jc w:val="both"/>
        <w:rPr>
          <w:spacing w:val="-2"/>
          <w:lang w:val="nl-NL"/>
        </w:rPr>
      </w:pPr>
      <w:r>
        <w:rPr>
          <w:spacing w:val="-2"/>
          <w:lang w:val="it-IT"/>
        </w:rPr>
        <w:t>Tăng mức hỗ trợ đ</w:t>
      </w:r>
      <w:r w:rsidRPr="001E5F19">
        <w:rPr>
          <w:spacing w:val="-2"/>
          <w:lang w:val="nl-NL"/>
        </w:rPr>
        <w:t>ầu tư xây dựng đối với nhà văn hoá thôn, tổ dân phố sau sáp nhập theo các Nghị quyết của HĐND tỉnh</w:t>
      </w:r>
      <w:r>
        <w:rPr>
          <w:lang w:val="pt-BR"/>
        </w:rPr>
        <w:t xml:space="preserve"> đối với các địa phương còn khó khăn chưa được hỗ trợ theo </w:t>
      </w:r>
      <w:r w:rsidRPr="007B0598">
        <w:rPr>
          <w:spacing w:val="-2"/>
          <w:lang w:val="nl-NL"/>
        </w:rPr>
        <w:t>Nghị quyết số 39/2019/NQ-HĐND</w:t>
      </w:r>
      <w:r>
        <w:rPr>
          <w:spacing w:val="-2"/>
          <w:lang w:val="nl-NL"/>
        </w:rPr>
        <w:t xml:space="preserve"> của HĐND tỉnh</w:t>
      </w:r>
      <w:r w:rsidR="00EF699A">
        <w:rPr>
          <w:spacing w:val="-2"/>
          <w:lang w:val="nl-NL"/>
        </w:rPr>
        <w:t>;</w:t>
      </w:r>
    </w:p>
    <w:p w:rsidR="000237CB" w:rsidRDefault="00EF699A" w:rsidP="00437DFD">
      <w:pPr>
        <w:spacing w:before="120" w:after="120"/>
        <w:ind w:firstLine="720"/>
        <w:jc w:val="both"/>
        <w:rPr>
          <w:spacing w:val="-2"/>
        </w:rPr>
      </w:pPr>
      <w:r>
        <w:rPr>
          <w:spacing w:val="-2"/>
          <w:lang w:val="nl-NL"/>
        </w:rPr>
        <w:t>P</w:t>
      </w:r>
      <w:r w:rsidR="000237CB">
        <w:rPr>
          <w:spacing w:val="-2"/>
          <w:lang w:val="nl-NL"/>
        </w:rPr>
        <w:t xml:space="preserve">hấn đấu sớm hoàn thiện các thiết chế văn hoá cở sở ở địa phương để đáp ứng cơ sở vật chất nhằm </w:t>
      </w:r>
      <w:r w:rsidR="000237CB" w:rsidRPr="009D5973">
        <w:rPr>
          <w:spacing w:val="-2"/>
          <w:lang w:val="vi-VN"/>
        </w:rPr>
        <w:t>tổ chức các hoạt động văn hóa, thể thao trên địa bàn dân cư, đáp ứng nhu cầu sáng tạo, hưởng thụ văn hóa, thể thao của các tầng lớp nhân dân; đồng thời làm nhiệm vụ tuyên truyền, cổ động phục vụ các nhiệm vụ chính </w:t>
      </w:r>
      <w:r w:rsidR="000237CB" w:rsidRPr="009D5973">
        <w:rPr>
          <w:spacing w:val="-2"/>
        </w:rPr>
        <w:t>tr</w:t>
      </w:r>
      <w:r w:rsidR="000237CB" w:rsidRPr="009D5973">
        <w:rPr>
          <w:spacing w:val="-2"/>
          <w:lang w:val="vi-VN"/>
        </w:rPr>
        <w:t>ị của Trung ương và địa phương</w:t>
      </w:r>
      <w:r w:rsidR="000237CB">
        <w:rPr>
          <w:spacing w:val="-2"/>
        </w:rPr>
        <w:t>.</w:t>
      </w:r>
    </w:p>
    <w:p w:rsidR="00F77CEF" w:rsidRPr="00587F44" w:rsidRDefault="00F77CEF" w:rsidP="00437DFD">
      <w:pPr>
        <w:spacing w:before="120" w:after="120"/>
        <w:ind w:firstLine="720"/>
        <w:jc w:val="both"/>
        <w:rPr>
          <w:b/>
        </w:rPr>
      </w:pPr>
      <w:r w:rsidRPr="00587F44">
        <w:rPr>
          <w:b/>
        </w:rPr>
        <w:t>2. Nội dung của Nghị quyết</w:t>
      </w:r>
      <w:r w:rsidR="002664BC">
        <w:rPr>
          <w:b/>
        </w:rPr>
        <w:t xml:space="preserve"> điều chỉnh:</w:t>
      </w:r>
    </w:p>
    <w:p w:rsidR="00A06D23" w:rsidRPr="00587F44" w:rsidRDefault="00981F7C" w:rsidP="00437DFD">
      <w:pPr>
        <w:tabs>
          <w:tab w:val="left" w:pos="720"/>
        </w:tabs>
        <w:spacing w:before="120" w:after="120"/>
        <w:ind w:left="-567" w:firstLine="567"/>
        <w:jc w:val="both"/>
        <w:rPr>
          <w:i/>
          <w:spacing w:val="-4"/>
          <w:lang w:val="da-DK"/>
        </w:rPr>
      </w:pPr>
      <w:r>
        <w:rPr>
          <w:spacing w:val="-4"/>
          <w:lang w:val="da-DK"/>
        </w:rPr>
        <w:tab/>
        <w:t>a</w:t>
      </w:r>
      <w:r w:rsidR="00BE34F9">
        <w:rPr>
          <w:spacing w:val="-4"/>
          <w:lang w:val="da-DK"/>
        </w:rPr>
        <w:t xml:space="preserve">) </w:t>
      </w:r>
      <w:r w:rsidR="0023404D">
        <w:rPr>
          <w:spacing w:val="-4"/>
          <w:lang w:val="da-DK"/>
        </w:rPr>
        <w:t>Nội dung</w:t>
      </w:r>
      <w:r w:rsidR="00BE34F9">
        <w:rPr>
          <w:spacing w:val="-4"/>
          <w:lang w:val="da-DK"/>
        </w:rPr>
        <w:t xml:space="preserve"> hỗ trợ</w:t>
      </w:r>
    </w:p>
    <w:p w:rsidR="00E7418A" w:rsidRPr="00275C14" w:rsidRDefault="00E7418A" w:rsidP="00437DFD">
      <w:pPr>
        <w:spacing w:before="120" w:after="120"/>
        <w:ind w:firstLine="720"/>
        <w:jc w:val="both"/>
        <w:rPr>
          <w:bCs/>
          <w:iCs/>
          <w:lang w:val="vi-VN"/>
        </w:rPr>
      </w:pPr>
      <w:r>
        <w:rPr>
          <w:bCs/>
          <w:iCs/>
        </w:rPr>
        <w:lastRenderedPageBreak/>
        <w:t>*</w:t>
      </w:r>
      <w:r w:rsidRPr="00275C14">
        <w:rPr>
          <w:bCs/>
          <w:iCs/>
          <w:lang w:val="vi-VN"/>
        </w:rPr>
        <w:t xml:space="preserve"> Đối với nhà văn hóa xây dựng mới:</w:t>
      </w:r>
    </w:p>
    <w:p w:rsidR="004D2F86" w:rsidRPr="006C79CC" w:rsidRDefault="004D2F86" w:rsidP="00437DFD">
      <w:pPr>
        <w:spacing w:before="120" w:after="120"/>
        <w:ind w:firstLine="720"/>
        <w:jc w:val="both"/>
        <w:rPr>
          <w:color w:val="000000"/>
          <w:lang w:val="nl-NL"/>
        </w:rPr>
      </w:pPr>
      <w:r w:rsidRPr="006C79CC">
        <w:rPr>
          <w:color w:val="000000"/>
          <w:lang w:val="nl-NL"/>
        </w:rPr>
        <w:t xml:space="preserve">- NVH thôn tổ dân phố loại 1 </w:t>
      </w:r>
      <w:r w:rsidRPr="006C79CC">
        <w:rPr>
          <w:i/>
          <w:color w:val="000000"/>
          <w:lang w:val="nl-NL"/>
        </w:rPr>
        <w:t xml:space="preserve">(tương đương quy mô 250 chỗ ngồi): </w:t>
      </w:r>
      <w:r w:rsidRPr="006C79CC">
        <w:rPr>
          <w:b/>
          <w:color w:val="000000"/>
          <w:lang w:val="nl-NL"/>
        </w:rPr>
        <w:t>350</w:t>
      </w:r>
      <w:r w:rsidRPr="006C79CC">
        <w:rPr>
          <w:color w:val="000000"/>
          <w:lang w:val="nl-NL"/>
        </w:rPr>
        <w:t xml:space="preserve"> triệu đồng/NVH.</w:t>
      </w:r>
    </w:p>
    <w:p w:rsidR="004D2F86" w:rsidRPr="006C79CC" w:rsidRDefault="004D2F86" w:rsidP="00437DFD">
      <w:pPr>
        <w:spacing w:before="120" w:after="120"/>
        <w:ind w:firstLine="720"/>
        <w:jc w:val="both"/>
        <w:rPr>
          <w:color w:val="000000"/>
          <w:lang w:val="nl-NL"/>
        </w:rPr>
      </w:pPr>
      <w:r w:rsidRPr="006C79CC">
        <w:rPr>
          <w:color w:val="000000"/>
          <w:lang w:val="nl-NL"/>
        </w:rPr>
        <w:t xml:space="preserve">- NVH thôn tổ dân phố loại 2 </w:t>
      </w:r>
      <w:r w:rsidRPr="006C79CC">
        <w:rPr>
          <w:i/>
          <w:color w:val="000000"/>
          <w:lang w:val="nl-NL"/>
        </w:rPr>
        <w:t>(tương đương quy mô 200 chỗ ngồi):</w:t>
      </w:r>
      <w:r w:rsidRPr="006C79CC">
        <w:rPr>
          <w:color w:val="000000"/>
          <w:lang w:val="nl-NL"/>
        </w:rPr>
        <w:t xml:space="preserve"> </w:t>
      </w:r>
      <w:r w:rsidRPr="006C79CC">
        <w:rPr>
          <w:b/>
          <w:color w:val="000000"/>
          <w:lang w:val="nl-NL"/>
        </w:rPr>
        <w:t>300</w:t>
      </w:r>
      <w:r w:rsidRPr="006C79CC">
        <w:rPr>
          <w:color w:val="000000"/>
          <w:lang w:val="nl-NL"/>
        </w:rPr>
        <w:t xml:space="preserve"> triệu đồng/NVH.</w:t>
      </w:r>
    </w:p>
    <w:p w:rsidR="004D2F86" w:rsidRPr="00A650B7" w:rsidRDefault="004D2F86" w:rsidP="00437DFD">
      <w:pPr>
        <w:spacing w:before="120" w:after="120"/>
        <w:ind w:firstLine="720"/>
        <w:jc w:val="both"/>
        <w:rPr>
          <w:color w:val="000000"/>
        </w:rPr>
      </w:pPr>
      <w:r w:rsidRPr="00A650B7">
        <w:rPr>
          <w:color w:val="000000"/>
        </w:rPr>
        <w:t xml:space="preserve">- NVH </w:t>
      </w:r>
      <w:r>
        <w:rPr>
          <w:color w:val="000000"/>
        </w:rPr>
        <w:t xml:space="preserve">thôn tổ dân phố loại 3 </w:t>
      </w:r>
      <w:r w:rsidRPr="00D81C62">
        <w:rPr>
          <w:i/>
          <w:color w:val="000000"/>
        </w:rPr>
        <w:t xml:space="preserve">(tương đương quy mô </w:t>
      </w:r>
      <w:r>
        <w:rPr>
          <w:i/>
          <w:color w:val="000000"/>
        </w:rPr>
        <w:t>1</w:t>
      </w:r>
      <w:r w:rsidRPr="00D81C62">
        <w:rPr>
          <w:i/>
          <w:color w:val="000000"/>
        </w:rPr>
        <w:t>00 chỗ ngồi):</w:t>
      </w:r>
      <w:r w:rsidRPr="00A650B7">
        <w:rPr>
          <w:color w:val="000000"/>
        </w:rPr>
        <w:t xml:space="preserve"> </w:t>
      </w:r>
      <w:r>
        <w:rPr>
          <w:b/>
          <w:color w:val="000000"/>
        </w:rPr>
        <w:t>200</w:t>
      </w:r>
      <w:r w:rsidRPr="00A650B7">
        <w:rPr>
          <w:color w:val="000000"/>
        </w:rPr>
        <w:t xml:space="preserve"> triệu đồng/NVH.</w:t>
      </w:r>
    </w:p>
    <w:p w:rsidR="005E669F" w:rsidRPr="00577DCA" w:rsidRDefault="005E669F" w:rsidP="00437DFD">
      <w:pPr>
        <w:spacing w:before="120" w:after="120"/>
        <w:ind w:firstLine="720"/>
        <w:jc w:val="both"/>
        <w:rPr>
          <w:b/>
          <w:color w:val="000000"/>
        </w:rPr>
      </w:pPr>
      <w:r>
        <w:rPr>
          <w:bCs/>
          <w:iCs/>
        </w:rPr>
        <w:t>*</w:t>
      </w:r>
      <w:r w:rsidRPr="00275C14">
        <w:rPr>
          <w:bCs/>
          <w:iCs/>
          <w:lang w:val="vi-VN"/>
        </w:rPr>
        <w:t xml:space="preserve"> Đối với công trình nhà văn hóa cải tạo, sửa chữa, mở rộng: Mức hỗ trợ bằng </w:t>
      </w:r>
      <w:r w:rsidRPr="008C5C02">
        <w:rPr>
          <w:color w:val="000000"/>
        </w:rPr>
        <w:t>khoảng 50% so với mức hỗ trợ xây mới</w:t>
      </w:r>
    </w:p>
    <w:p w:rsidR="005E669F" w:rsidRDefault="005E669F" w:rsidP="00437DFD">
      <w:pPr>
        <w:spacing w:before="120" w:after="120"/>
        <w:ind w:firstLine="720"/>
        <w:jc w:val="both"/>
        <w:rPr>
          <w:color w:val="000000"/>
        </w:rPr>
      </w:pPr>
      <w:r w:rsidRPr="00A650B7">
        <w:rPr>
          <w:color w:val="000000"/>
        </w:rPr>
        <w:t xml:space="preserve">- NVH </w:t>
      </w:r>
      <w:r>
        <w:rPr>
          <w:color w:val="000000"/>
        </w:rPr>
        <w:t xml:space="preserve">thôn tổ dân phố loại 1: </w:t>
      </w:r>
      <w:r w:rsidRPr="00DD0690">
        <w:rPr>
          <w:b/>
          <w:color w:val="000000"/>
        </w:rPr>
        <w:t>175</w:t>
      </w:r>
      <w:r w:rsidRPr="00A650B7">
        <w:rPr>
          <w:color w:val="000000"/>
        </w:rPr>
        <w:t xml:space="preserve"> triệu đồng/NVH.</w:t>
      </w:r>
    </w:p>
    <w:p w:rsidR="005E669F" w:rsidRPr="00A650B7" w:rsidRDefault="005E669F" w:rsidP="00437DFD">
      <w:pPr>
        <w:spacing w:before="120" w:after="120"/>
        <w:ind w:firstLine="720"/>
        <w:jc w:val="both"/>
        <w:rPr>
          <w:color w:val="000000"/>
        </w:rPr>
      </w:pPr>
      <w:r w:rsidRPr="00A650B7">
        <w:rPr>
          <w:color w:val="000000"/>
        </w:rPr>
        <w:t xml:space="preserve">- NVH </w:t>
      </w:r>
      <w:r>
        <w:rPr>
          <w:color w:val="000000"/>
        </w:rPr>
        <w:t xml:space="preserve">thôn tổ dân phố loại 2: </w:t>
      </w:r>
      <w:r>
        <w:rPr>
          <w:b/>
          <w:color w:val="000000"/>
        </w:rPr>
        <w:t>150</w:t>
      </w:r>
      <w:r w:rsidRPr="00A650B7">
        <w:rPr>
          <w:color w:val="000000"/>
        </w:rPr>
        <w:t xml:space="preserve"> triệu đồng/NVH.</w:t>
      </w:r>
    </w:p>
    <w:p w:rsidR="005E669F" w:rsidRDefault="005E669F" w:rsidP="00437DFD">
      <w:pPr>
        <w:spacing w:before="120" w:after="120"/>
        <w:ind w:firstLine="720"/>
        <w:jc w:val="both"/>
        <w:rPr>
          <w:color w:val="000000"/>
        </w:rPr>
      </w:pPr>
      <w:r w:rsidRPr="00A650B7">
        <w:rPr>
          <w:color w:val="000000"/>
        </w:rPr>
        <w:t xml:space="preserve">- NVH </w:t>
      </w:r>
      <w:r>
        <w:rPr>
          <w:color w:val="000000"/>
        </w:rPr>
        <w:t>thôn tổ dân phố loại 3:</w:t>
      </w:r>
      <w:r w:rsidRPr="00A650B7">
        <w:rPr>
          <w:color w:val="000000"/>
        </w:rPr>
        <w:t xml:space="preserve"> </w:t>
      </w:r>
      <w:r>
        <w:rPr>
          <w:b/>
          <w:color w:val="000000"/>
        </w:rPr>
        <w:t>100</w:t>
      </w:r>
      <w:r w:rsidRPr="00A650B7">
        <w:rPr>
          <w:color w:val="000000"/>
        </w:rPr>
        <w:t xml:space="preserve"> triệu đồng/NVH.</w:t>
      </w:r>
    </w:p>
    <w:p w:rsidR="00186D8D" w:rsidRPr="00A650B7" w:rsidRDefault="00981F7C" w:rsidP="00437DFD">
      <w:pPr>
        <w:spacing w:before="120" w:after="120"/>
        <w:ind w:firstLine="720"/>
        <w:jc w:val="both"/>
        <w:rPr>
          <w:color w:val="000000"/>
        </w:rPr>
      </w:pPr>
      <w:r>
        <w:rPr>
          <w:color w:val="000000"/>
        </w:rPr>
        <w:t>b</w:t>
      </w:r>
      <w:r w:rsidR="00186D8D">
        <w:rPr>
          <w:color w:val="000000"/>
        </w:rPr>
        <w:t xml:space="preserve">) </w:t>
      </w:r>
      <w:r w:rsidR="00B06E34" w:rsidRPr="00CC169C">
        <w:rPr>
          <w:lang w:val="it-IT"/>
        </w:rPr>
        <w:t xml:space="preserve">Các nội dung khác: Giữ nguyên theo </w:t>
      </w:r>
      <w:r w:rsidR="00B06E34" w:rsidRPr="005326EA">
        <w:rPr>
          <w:lang w:val="it-IT"/>
        </w:rPr>
        <w:t>Nghị quyết số 39/2019/NQ-H</w:t>
      </w:r>
      <w:r w:rsidR="00B06E34" w:rsidRPr="005326EA">
        <w:rPr>
          <w:rFonts w:hint="eastAsia"/>
          <w:lang w:val="it-IT"/>
        </w:rPr>
        <w:t>Đ</w:t>
      </w:r>
      <w:r w:rsidR="00B06E34" w:rsidRPr="005326EA">
        <w:rPr>
          <w:lang w:val="it-IT"/>
        </w:rPr>
        <w:t>ND ngày 30/6/2023 của H</w:t>
      </w:r>
      <w:r w:rsidR="00B06E34" w:rsidRPr="005326EA">
        <w:rPr>
          <w:rFonts w:hint="eastAsia"/>
          <w:lang w:val="it-IT"/>
        </w:rPr>
        <w:t>Đ</w:t>
      </w:r>
      <w:r w:rsidR="00B06E34" w:rsidRPr="005326EA">
        <w:rPr>
          <w:lang w:val="it-IT"/>
        </w:rPr>
        <w:t>ND tỉnh</w:t>
      </w:r>
      <w:r w:rsidR="00A11A38">
        <w:rPr>
          <w:lang w:val="it-IT"/>
        </w:rPr>
        <w:t>.</w:t>
      </w:r>
    </w:p>
    <w:p w:rsidR="00F77CEF" w:rsidRPr="00587F44" w:rsidRDefault="00F77CEF" w:rsidP="00437DFD">
      <w:pPr>
        <w:spacing w:before="120" w:after="120"/>
        <w:ind w:firstLine="720"/>
        <w:jc w:val="both"/>
        <w:rPr>
          <w:b/>
        </w:rPr>
      </w:pPr>
      <w:r w:rsidRPr="00587F44">
        <w:rPr>
          <w:b/>
        </w:rPr>
        <w:t>V. DỰ KIẾN NGUỒN LỰC, ĐIỀU KIỆN ĐẢM BẢO CHO VIỆC THỰC HIỆN NGHỊ QUYẾT</w:t>
      </w:r>
    </w:p>
    <w:p w:rsidR="002C3BF6" w:rsidRPr="00A051E7" w:rsidRDefault="002C3BF6" w:rsidP="00437DFD">
      <w:pPr>
        <w:spacing w:before="120" w:after="120"/>
        <w:ind w:firstLine="720"/>
        <w:jc w:val="both"/>
      </w:pPr>
      <w:r w:rsidRPr="00587F44">
        <w:rPr>
          <w:lang w:val="vi-VN"/>
        </w:rPr>
        <w:t xml:space="preserve">Nguồn kinh phí thực hiện </w:t>
      </w:r>
      <w:r w:rsidR="00A051E7">
        <w:t xml:space="preserve">hỗ trợ </w:t>
      </w:r>
      <w:r w:rsidRPr="00587F44">
        <w:rPr>
          <w:lang w:val="vi-VN"/>
        </w:rPr>
        <w:t>do ngân sách tỉnh tự cân đối</w:t>
      </w:r>
      <w:r w:rsidR="00A051E7">
        <w:t>.</w:t>
      </w:r>
    </w:p>
    <w:p w:rsidR="00F77CEF" w:rsidRPr="00587F44" w:rsidRDefault="00F77CEF" w:rsidP="00437DFD">
      <w:pPr>
        <w:spacing w:before="120" w:after="120"/>
        <w:ind w:firstLine="567"/>
        <w:jc w:val="both"/>
        <w:rPr>
          <w:b/>
        </w:rPr>
      </w:pPr>
      <w:r w:rsidRPr="00587F44">
        <w:rPr>
          <w:b/>
        </w:rPr>
        <w:t>VI. THỜI GIAN DỰ KIẾN THÔNG QUA NGHỊ QUYẾT</w:t>
      </w:r>
    </w:p>
    <w:p w:rsidR="002C3BF6" w:rsidRPr="00587F44" w:rsidRDefault="00587F44" w:rsidP="00437DFD">
      <w:pPr>
        <w:tabs>
          <w:tab w:val="left" w:pos="720"/>
        </w:tabs>
        <w:spacing w:before="120" w:after="120"/>
        <w:ind w:firstLine="567"/>
        <w:jc w:val="both"/>
        <w:rPr>
          <w:lang w:val="da-DK"/>
        </w:rPr>
      </w:pPr>
      <w:r>
        <w:rPr>
          <w:lang w:val="da-DK"/>
        </w:rPr>
        <w:t>Thời gian dự kiến: Quý IV năm 2024</w:t>
      </w:r>
      <w:r w:rsidR="00CF3C4D" w:rsidRPr="00587F44">
        <w:rPr>
          <w:lang w:val="da-DK"/>
        </w:rPr>
        <w:t>.</w:t>
      </w:r>
    </w:p>
    <w:p w:rsidR="00F77CEF" w:rsidRPr="00587F44" w:rsidRDefault="00F77CEF" w:rsidP="00437DFD">
      <w:pPr>
        <w:spacing w:before="120" w:after="120"/>
        <w:ind w:firstLine="720"/>
        <w:jc w:val="both"/>
        <w:rPr>
          <w:spacing w:val="-4"/>
          <w:lang w:val="nb-NO"/>
        </w:rPr>
      </w:pPr>
      <w:r w:rsidRPr="00587F44">
        <w:t xml:space="preserve">Trên đây là Tờ trình đề nghị xây dựng </w:t>
      </w:r>
      <w:r w:rsidR="00E701A1" w:rsidRPr="00E701A1">
        <w:rPr>
          <w:spacing w:val="-8"/>
        </w:rPr>
        <w:t>Nghị quyết điều chỉnh nội dung hỗ trợ đầu tư xây dựng đối với nhà văn hóa thôn, tổ dân phố sau sáp nhập</w:t>
      </w:r>
      <w:r w:rsidRPr="00587F44">
        <w:rPr>
          <w:spacing w:val="-4"/>
          <w:lang w:val="nb-NO"/>
        </w:rPr>
        <w:t xml:space="preserve">. Sở </w:t>
      </w:r>
      <w:r w:rsidR="002B3F54">
        <w:rPr>
          <w:spacing w:val="-4"/>
          <w:lang w:val="nb-NO"/>
        </w:rPr>
        <w:t xml:space="preserve">Kế hoạch và Đầu tư </w:t>
      </w:r>
      <w:r w:rsidRPr="00587F44">
        <w:rPr>
          <w:spacing w:val="-4"/>
          <w:lang w:val="nb-NO"/>
        </w:rPr>
        <w:t>kính trình Ủy ban nhân dân tỉnh xem xét, quyết định.</w:t>
      </w:r>
      <w:r w:rsidR="001779FC">
        <w:rPr>
          <w:spacing w:val="-4"/>
          <w:lang w:val="nb-NO"/>
        </w:rPr>
        <w:t>/.</w:t>
      </w:r>
    </w:p>
    <w:p w:rsidR="00BF4F6B" w:rsidRPr="00385E01" w:rsidRDefault="00BF4F6B" w:rsidP="00BF4F6B">
      <w:pPr>
        <w:spacing w:line="276" w:lineRule="auto"/>
        <w:ind w:firstLine="720"/>
        <w:jc w:val="both"/>
        <w:rPr>
          <w:lang w:val="es-ES"/>
        </w:rPr>
      </w:pPr>
    </w:p>
    <w:tbl>
      <w:tblPr>
        <w:tblW w:w="0" w:type="auto"/>
        <w:tblLook w:val="04A0" w:firstRow="1" w:lastRow="0" w:firstColumn="1" w:lastColumn="0" w:noHBand="0" w:noVBand="1"/>
      </w:tblPr>
      <w:tblGrid>
        <w:gridCol w:w="4533"/>
        <w:gridCol w:w="4539"/>
      </w:tblGrid>
      <w:tr w:rsidR="00A32668" w:rsidRPr="00DC4835" w:rsidTr="007E736C">
        <w:tc>
          <w:tcPr>
            <w:tcW w:w="4644" w:type="dxa"/>
            <w:shd w:val="clear" w:color="auto" w:fill="auto"/>
          </w:tcPr>
          <w:p w:rsidR="00A32668" w:rsidRPr="00E51420" w:rsidRDefault="00A32668" w:rsidP="007E736C">
            <w:pPr>
              <w:jc w:val="both"/>
              <w:rPr>
                <w:b/>
                <w:i/>
                <w:sz w:val="24"/>
                <w:szCs w:val="24"/>
                <w:lang w:val="vi-VN"/>
              </w:rPr>
            </w:pPr>
            <w:r w:rsidRPr="00E51420">
              <w:rPr>
                <w:b/>
                <w:i/>
                <w:sz w:val="24"/>
                <w:szCs w:val="24"/>
                <w:lang w:val="vi-VN"/>
              </w:rPr>
              <w:t>Nơi nhận:</w:t>
            </w:r>
          </w:p>
          <w:p w:rsidR="00A32668" w:rsidRPr="00E51420" w:rsidRDefault="00A32668" w:rsidP="007E736C">
            <w:pPr>
              <w:jc w:val="both"/>
              <w:rPr>
                <w:sz w:val="24"/>
                <w:szCs w:val="24"/>
                <w:lang w:val="vi-VN"/>
              </w:rPr>
            </w:pPr>
            <w:r w:rsidRPr="00E51420">
              <w:rPr>
                <w:sz w:val="24"/>
                <w:szCs w:val="24"/>
                <w:lang w:val="vi-VN"/>
              </w:rPr>
              <w:t>- Như kinh gửi;</w:t>
            </w:r>
          </w:p>
          <w:p w:rsidR="00A32668" w:rsidRPr="00DC4835" w:rsidRDefault="00A32668" w:rsidP="007E736C">
            <w:pPr>
              <w:jc w:val="both"/>
            </w:pPr>
            <w:r w:rsidRPr="00DC4835">
              <w:rPr>
                <w:sz w:val="24"/>
                <w:szCs w:val="24"/>
              </w:rPr>
              <w:t>- Lưu</w:t>
            </w:r>
            <w:r>
              <w:rPr>
                <w:sz w:val="24"/>
                <w:szCs w:val="24"/>
              </w:rPr>
              <w:t>:</w:t>
            </w:r>
            <w:r w:rsidRPr="00DC4835">
              <w:rPr>
                <w:sz w:val="24"/>
                <w:szCs w:val="24"/>
              </w:rPr>
              <w:t xml:space="preserve"> VT, </w:t>
            </w:r>
            <w:r>
              <w:rPr>
                <w:sz w:val="24"/>
                <w:szCs w:val="24"/>
              </w:rPr>
              <w:t>KTN</w:t>
            </w:r>
            <w:r w:rsidRPr="00DC4835">
              <w:rPr>
                <w:sz w:val="24"/>
                <w:szCs w:val="24"/>
              </w:rPr>
              <w:t>.</w:t>
            </w:r>
          </w:p>
        </w:tc>
        <w:tc>
          <w:tcPr>
            <w:tcW w:w="4644" w:type="dxa"/>
            <w:shd w:val="clear" w:color="auto" w:fill="auto"/>
          </w:tcPr>
          <w:p w:rsidR="00A32668" w:rsidRDefault="00A32668" w:rsidP="007E736C">
            <w:pPr>
              <w:jc w:val="center"/>
              <w:rPr>
                <w:b/>
              </w:rPr>
            </w:pPr>
            <w:r>
              <w:rPr>
                <w:b/>
              </w:rPr>
              <w:t xml:space="preserve">KT. </w:t>
            </w:r>
            <w:r w:rsidRPr="00DC4835">
              <w:rPr>
                <w:b/>
              </w:rPr>
              <w:t>GIÁM ĐỐC</w:t>
            </w:r>
          </w:p>
          <w:p w:rsidR="00A32668" w:rsidRPr="00DC4835" w:rsidRDefault="00A32668" w:rsidP="007E736C">
            <w:pPr>
              <w:jc w:val="center"/>
              <w:rPr>
                <w:b/>
              </w:rPr>
            </w:pPr>
            <w:r>
              <w:rPr>
                <w:b/>
              </w:rPr>
              <w:t>PHÓ GIÁM ĐỐC</w:t>
            </w:r>
          </w:p>
          <w:p w:rsidR="00A32668" w:rsidRPr="00DC4835" w:rsidRDefault="00A32668" w:rsidP="007E736C">
            <w:pPr>
              <w:jc w:val="center"/>
              <w:rPr>
                <w:b/>
              </w:rPr>
            </w:pPr>
          </w:p>
          <w:p w:rsidR="00A32668" w:rsidRPr="00DC4835" w:rsidRDefault="00A32668" w:rsidP="007E736C">
            <w:pPr>
              <w:jc w:val="center"/>
              <w:rPr>
                <w:b/>
              </w:rPr>
            </w:pPr>
          </w:p>
          <w:p w:rsidR="00A32668" w:rsidRPr="00DC4835" w:rsidRDefault="00A32668" w:rsidP="007E736C">
            <w:pPr>
              <w:jc w:val="center"/>
              <w:rPr>
                <w:b/>
              </w:rPr>
            </w:pPr>
          </w:p>
          <w:p w:rsidR="00A32668" w:rsidRPr="00DC4835" w:rsidRDefault="00A32668" w:rsidP="007E736C">
            <w:pPr>
              <w:jc w:val="center"/>
              <w:rPr>
                <w:b/>
              </w:rPr>
            </w:pPr>
          </w:p>
          <w:p w:rsidR="00A32668" w:rsidRPr="00DC4835" w:rsidRDefault="00A32668" w:rsidP="007E736C">
            <w:pPr>
              <w:jc w:val="center"/>
              <w:rPr>
                <w:b/>
              </w:rPr>
            </w:pPr>
          </w:p>
          <w:p w:rsidR="00A32668" w:rsidRPr="00DC4835" w:rsidRDefault="00A32668" w:rsidP="007E736C">
            <w:pPr>
              <w:jc w:val="center"/>
            </w:pPr>
            <w:r>
              <w:rPr>
                <w:b/>
              </w:rPr>
              <w:t>Lê Đức Phúc</w:t>
            </w:r>
          </w:p>
        </w:tc>
      </w:tr>
    </w:tbl>
    <w:p w:rsidR="00F77CEF" w:rsidRPr="0034449B" w:rsidRDefault="00F77CEF" w:rsidP="0034449B">
      <w:pPr>
        <w:spacing w:before="120" w:after="120" w:line="380" w:lineRule="exact"/>
        <w:ind w:firstLine="720"/>
        <w:jc w:val="both"/>
      </w:pPr>
    </w:p>
    <w:p w:rsidR="0034449B" w:rsidRDefault="0034449B" w:rsidP="0034449B">
      <w:pPr>
        <w:spacing w:before="120" w:after="120" w:line="380" w:lineRule="exact"/>
        <w:ind w:firstLine="720"/>
        <w:jc w:val="both"/>
        <w:rPr>
          <w:lang w:val="vi-VN"/>
        </w:rPr>
      </w:pPr>
    </w:p>
    <w:sectPr w:rsidR="0034449B" w:rsidSect="00166794">
      <w:headerReference w:type="default"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75B" w:rsidRDefault="0042675B" w:rsidP="00247BEC">
      <w:r>
        <w:separator/>
      </w:r>
    </w:p>
  </w:endnote>
  <w:endnote w:type="continuationSeparator" w:id="0">
    <w:p w:rsidR="0042675B" w:rsidRDefault="0042675B" w:rsidP="0024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54" w:rsidRPr="00572754" w:rsidRDefault="00572754">
    <w:pPr>
      <w:pStyle w:val="Footer"/>
      <w:jc w:val="center"/>
      <w:rPr>
        <w:sz w:val="22"/>
      </w:rPr>
    </w:pPr>
  </w:p>
  <w:p w:rsidR="00247BEC" w:rsidRDefault="00247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75B" w:rsidRDefault="0042675B" w:rsidP="00247BEC">
      <w:r>
        <w:separator/>
      </w:r>
    </w:p>
  </w:footnote>
  <w:footnote w:type="continuationSeparator" w:id="0">
    <w:p w:rsidR="0042675B" w:rsidRDefault="0042675B" w:rsidP="00247B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928388"/>
      <w:docPartObj>
        <w:docPartGallery w:val="Page Numbers (Top of Page)"/>
        <w:docPartUnique/>
      </w:docPartObj>
    </w:sdtPr>
    <w:sdtEndPr>
      <w:rPr>
        <w:noProof/>
      </w:rPr>
    </w:sdtEndPr>
    <w:sdtContent>
      <w:p w:rsidR="00BC2DB0" w:rsidRDefault="00BC2DB0">
        <w:pPr>
          <w:pStyle w:val="Header"/>
          <w:jc w:val="center"/>
        </w:pPr>
        <w:r>
          <w:fldChar w:fldCharType="begin"/>
        </w:r>
        <w:r>
          <w:instrText xml:space="preserve"> PAGE   \* MERGEFORMAT </w:instrText>
        </w:r>
        <w:r>
          <w:fldChar w:fldCharType="separate"/>
        </w:r>
        <w:r w:rsidR="00A345EA">
          <w:rPr>
            <w:noProof/>
          </w:rPr>
          <w:t>4</w:t>
        </w:r>
        <w:r>
          <w:rPr>
            <w:noProof/>
          </w:rPr>
          <w:fldChar w:fldCharType="end"/>
        </w:r>
      </w:p>
    </w:sdtContent>
  </w:sdt>
  <w:p w:rsidR="00BC2DB0" w:rsidRDefault="00BC2D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748BF"/>
    <w:multiLevelType w:val="hybridMultilevel"/>
    <w:tmpl w:val="3A449884"/>
    <w:lvl w:ilvl="0" w:tplc="A4D03F1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86170AF"/>
    <w:multiLevelType w:val="hybridMultilevel"/>
    <w:tmpl w:val="FF00501A"/>
    <w:lvl w:ilvl="0" w:tplc="13B0B5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60"/>
    <w:rsid w:val="000042B3"/>
    <w:rsid w:val="000105CB"/>
    <w:rsid w:val="00012A4A"/>
    <w:rsid w:val="000135AE"/>
    <w:rsid w:val="000215ED"/>
    <w:rsid w:val="000219E0"/>
    <w:rsid w:val="000237CB"/>
    <w:rsid w:val="000239AA"/>
    <w:rsid w:val="0003039C"/>
    <w:rsid w:val="00042FCE"/>
    <w:rsid w:val="00053E90"/>
    <w:rsid w:val="00056548"/>
    <w:rsid w:val="00062E2E"/>
    <w:rsid w:val="000703EA"/>
    <w:rsid w:val="00074EF1"/>
    <w:rsid w:val="000949AB"/>
    <w:rsid w:val="00097BF6"/>
    <w:rsid w:val="000A4E1B"/>
    <w:rsid w:val="000A5555"/>
    <w:rsid w:val="000B7A4B"/>
    <w:rsid w:val="000C32F1"/>
    <w:rsid w:val="000C59DD"/>
    <w:rsid w:val="000E234C"/>
    <w:rsid w:val="000F70C8"/>
    <w:rsid w:val="00101BD9"/>
    <w:rsid w:val="00106940"/>
    <w:rsid w:val="001125E7"/>
    <w:rsid w:val="001160F5"/>
    <w:rsid w:val="00116259"/>
    <w:rsid w:val="00120456"/>
    <w:rsid w:val="0012278A"/>
    <w:rsid w:val="001259E7"/>
    <w:rsid w:val="001355EA"/>
    <w:rsid w:val="0014330D"/>
    <w:rsid w:val="001450B3"/>
    <w:rsid w:val="00157EB5"/>
    <w:rsid w:val="001604B0"/>
    <w:rsid w:val="00166794"/>
    <w:rsid w:val="0017055A"/>
    <w:rsid w:val="00171833"/>
    <w:rsid w:val="001719AB"/>
    <w:rsid w:val="001779FC"/>
    <w:rsid w:val="00186D8D"/>
    <w:rsid w:val="001954A7"/>
    <w:rsid w:val="001C010F"/>
    <w:rsid w:val="001C2979"/>
    <w:rsid w:val="001D0DC3"/>
    <w:rsid w:val="001D45F6"/>
    <w:rsid w:val="001D4D99"/>
    <w:rsid w:val="001E250F"/>
    <w:rsid w:val="001E4F2A"/>
    <w:rsid w:val="001E5AC3"/>
    <w:rsid w:val="001F5ACF"/>
    <w:rsid w:val="00202867"/>
    <w:rsid w:val="0020438D"/>
    <w:rsid w:val="00214B2B"/>
    <w:rsid w:val="002239D5"/>
    <w:rsid w:val="0023404D"/>
    <w:rsid w:val="002428A7"/>
    <w:rsid w:val="00247BEC"/>
    <w:rsid w:val="002530D5"/>
    <w:rsid w:val="002650AF"/>
    <w:rsid w:val="002664BC"/>
    <w:rsid w:val="00270929"/>
    <w:rsid w:val="002856E8"/>
    <w:rsid w:val="002B3F54"/>
    <w:rsid w:val="002B5C04"/>
    <w:rsid w:val="002C14DD"/>
    <w:rsid w:val="002C3BF6"/>
    <w:rsid w:val="002C7EAD"/>
    <w:rsid w:val="002D1FC6"/>
    <w:rsid w:val="002D2156"/>
    <w:rsid w:val="002D2380"/>
    <w:rsid w:val="002D7105"/>
    <w:rsid w:val="002E37CE"/>
    <w:rsid w:val="002E3DBF"/>
    <w:rsid w:val="00302B0F"/>
    <w:rsid w:val="003034BE"/>
    <w:rsid w:val="003043A0"/>
    <w:rsid w:val="00321895"/>
    <w:rsid w:val="00323967"/>
    <w:rsid w:val="00330691"/>
    <w:rsid w:val="00331EC6"/>
    <w:rsid w:val="00333F26"/>
    <w:rsid w:val="0033422A"/>
    <w:rsid w:val="003416A2"/>
    <w:rsid w:val="0034449B"/>
    <w:rsid w:val="00347F22"/>
    <w:rsid w:val="00354816"/>
    <w:rsid w:val="00361C00"/>
    <w:rsid w:val="00371C66"/>
    <w:rsid w:val="003726CB"/>
    <w:rsid w:val="00385E01"/>
    <w:rsid w:val="003A2CB3"/>
    <w:rsid w:val="003B3C55"/>
    <w:rsid w:val="003B6D3F"/>
    <w:rsid w:val="003C17DE"/>
    <w:rsid w:val="003C3485"/>
    <w:rsid w:val="003C6AA4"/>
    <w:rsid w:val="003D047D"/>
    <w:rsid w:val="003E43E3"/>
    <w:rsid w:val="003E6173"/>
    <w:rsid w:val="003E630C"/>
    <w:rsid w:val="003F1AC5"/>
    <w:rsid w:val="00421402"/>
    <w:rsid w:val="004225FF"/>
    <w:rsid w:val="00423146"/>
    <w:rsid w:val="00423C7C"/>
    <w:rsid w:val="0042675B"/>
    <w:rsid w:val="00437DFD"/>
    <w:rsid w:val="00441FA7"/>
    <w:rsid w:val="004421B4"/>
    <w:rsid w:val="0045749D"/>
    <w:rsid w:val="00464CF8"/>
    <w:rsid w:val="004761B2"/>
    <w:rsid w:val="0048347A"/>
    <w:rsid w:val="004A2025"/>
    <w:rsid w:val="004A2804"/>
    <w:rsid w:val="004A50B8"/>
    <w:rsid w:val="004B288A"/>
    <w:rsid w:val="004B60D1"/>
    <w:rsid w:val="004C0224"/>
    <w:rsid w:val="004C3B33"/>
    <w:rsid w:val="004D2206"/>
    <w:rsid w:val="004D2F86"/>
    <w:rsid w:val="004D6255"/>
    <w:rsid w:val="004D7590"/>
    <w:rsid w:val="004E1739"/>
    <w:rsid w:val="005013F6"/>
    <w:rsid w:val="005356E7"/>
    <w:rsid w:val="00536165"/>
    <w:rsid w:val="00536D17"/>
    <w:rsid w:val="005428E3"/>
    <w:rsid w:val="00542F0D"/>
    <w:rsid w:val="00543BFB"/>
    <w:rsid w:val="00547D64"/>
    <w:rsid w:val="00561F9F"/>
    <w:rsid w:val="0056205A"/>
    <w:rsid w:val="0056727C"/>
    <w:rsid w:val="00571DF7"/>
    <w:rsid w:val="00572754"/>
    <w:rsid w:val="00573E06"/>
    <w:rsid w:val="00573F49"/>
    <w:rsid w:val="00583620"/>
    <w:rsid w:val="00587F44"/>
    <w:rsid w:val="005926F6"/>
    <w:rsid w:val="00595D45"/>
    <w:rsid w:val="005A3F05"/>
    <w:rsid w:val="005A6981"/>
    <w:rsid w:val="005B241A"/>
    <w:rsid w:val="005B4900"/>
    <w:rsid w:val="005B76CA"/>
    <w:rsid w:val="005C2CF6"/>
    <w:rsid w:val="005D40CD"/>
    <w:rsid w:val="005D48F0"/>
    <w:rsid w:val="005D6BC6"/>
    <w:rsid w:val="005E0494"/>
    <w:rsid w:val="005E669F"/>
    <w:rsid w:val="005F3C7B"/>
    <w:rsid w:val="005F3F9B"/>
    <w:rsid w:val="006035D1"/>
    <w:rsid w:val="00607371"/>
    <w:rsid w:val="006114B7"/>
    <w:rsid w:val="00632B82"/>
    <w:rsid w:val="0063338F"/>
    <w:rsid w:val="00633D9F"/>
    <w:rsid w:val="00641ACC"/>
    <w:rsid w:val="00642887"/>
    <w:rsid w:val="00645833"/>
    <w:rsid w:val="006466A8"/>
    <w:rsid w:val="00655638"/>
    <w:rsid w:val="00664555"/>
    <w:rsid w:val="00664909"/>
    <w:rsid w:val="006673DF"/>
    <w:rsid w:val="00672CDD"/>
    <w:rsid w:val="00673F97"/>
    <w:rsid w:val="006776FA"/>
    <w:rsid w:val="00681596"/>
    <w:rsid w:val="0068423E"/>
    <w:rsid w:val="006902C7"/>
    <w:rsid w:val="00692274"/>
    <w:rsid w:val="006A0979"/>
    <w:rsid w:val="006A41AB"/>
    <w:rsid w:val="006B27A0"/>
    <w:rsid w:val="006D3C6D"/>
    <w:rsid w:val="006E3160"/>
    <w:rsid w:val="006F3469"/>
    <w:rsid w:val="0070100A"/>
    <w:rsid w:val="00703908"/>
    <w:rsid w:val="00715595"/>
    <w:rsid w:val="0071610C"/>
    <w:rsid w:val="007274C2"/>
    <w:rsid w:val="00732FE8"/>
    <w:rsid w:val="00735250"/>
    <w:rsid w:val="00742B03"/>
    <w:rsid w:val="00752EF6"/>
    <w:rsid w:val="00754654"/>
    <w:rsid w:val="007618EB"/>
    <w:rsid w:val="007727C8"/>
    <w:rsid w:val="00780D03"/>
    <w:rsid w:val="0078270B"/>
    <w:rsid w:val="007846EF"/>
    <w:rsid w:val="0079204B"/>
    <w:rsid w:val="00794BEA"/>
    <w:rsid w:val="007B1330"/>
    <w:rsid w:val="007B5A73"/>
    <w:rsid w:val="007C1881"/>
    <w:rsid w:val="007C5E71"/>
    <w:rsid w:val="007D17CE"/>
    <w:rsid w:val="007D635B"/>
    <w:rsid w:val="007E5F38"/>
    <w:rsid w:val="007F1455"/>
    <w:rsid w:val="007F5796"/>
    <w:rsid w:val="0080219D"/>
    <w:rsid w:val="00804F2D"/>
    <w:rsid w:val="00810108"/>
    <w:rsid w:val="00812557"/>
    <w:rsid w:val="00822A6C"/>
    <w:rsid w:val="0082742B"/>
    <w:rsid w:val="00833B01"/>
    <w:rsid w:val="00833B90"/>
    <w:rsid w:val="008346BA"/>
    <w:rsid w:val="008446C9"/>
    <w:rsid w:val="008507A7"/>
    <w:rsid w:val="008509CF"/>
    <w:rsid w:val="00856C8F"/>
    <w:rsid w:val="00863836"/>
    <w:rsid w:val="00865678"/>
    <w:rsid w:val="0088152B"/>
    <w:rsid w:val="00881EEB"/>
    <w:rsid w:val="00883D63"/>
    <w:rsid w:val="008A6823"/>
    <w:rsid w:val="008B2C44"/>
    <w:rsid w:val="008C72C9"/>
    <w:rsid w:val="008D34A5"/>
    <w:rsid w:val="008E76DF"/>
    <w:rsid w:val="00901E12"/>
    <w:rsid w:val="00902978"/>
    <w:rsid w:val="00917445"/>
    <w:rsid w:val="0092143A"/>
    <w:rsid w:val="00950464"/>
    <w:rsid w:val="00953351"/>
    <w:rsid w:val="00963A6B"/>
    <w:rsid w:val="00964D5D"/>
    <w:rsid w:val="00966E09"/>
    <w:rsid w:val="009671A5"/>
    <w:rsid w:val="0097661E"/>
    <w:rsid w:val="00981097"/>
    <w:rsid w:val="00981F7C"/>
    <w:rsid w:val="00986A6A"/>
    <w:rsid w:val="0099363B"/>
    <w:rsid w:val="009944A8"/>
    <w:rsid w:val="00994B77"/>
    <w:rsid w:val="00995871"/>
    <w:rsid w:val="009A1554"/>
    <w:rsid w:val="009C3426"/>
    <w:rsid w:val="009D0B2A"/>
    <w:rsid w:val="009D3B77"/>
    <w:rsid w:val="009D46E8"/>
    <w:rsid w:val="009D5973"/>
    <w:rsid w:val="009E047A"/>
    <w:rsid w:val="009E2B62"/>
    <w:rsid w:val="009E4153"/>
    <w:rsid w:val="009F052B"/>
    <w:rsid w:val="009F1B3B"/>
    <w:rsid w:val="009F3503"/>
    <w:rsid w:val="009F77B3"/>
    <w:rsid w:val="00A022E3"/>
    <w:rsid w:val="00A03290"/>
    <w:rsid w:val="00A04634"/>
    <w:rsid w:val="00A04D6B"/>
    <w:rsid w:val="00A051E7"/>
    <w:rsid w:val="00A06D23"/>
    <w:rsid w:val="00A11A38"/>
    <w:rsid w:val="00A17BF0"/>
    <w:rsid w:val="00A212E9"/>
    <w:rsid w:val="00A23562"/>
    <w:rsid w:val="00A251CD"/>
    <w:rsid w:val="00A32668"/>
    <w:rsid w:val="00A3282A"/>
    <w:rsid w:val="00A345EA"/>
    <w:rsid w:val="00A35D85"/>
    <w:rsid w:val="00A42375"/>
    <w:rsid w:val="00A4404A"/>
    <w:rsid w:val="00A47789"/>
    <w:rsid w:val="00A51E8F"/>
    <w:rsid w:val="00A52AA8"/>
    <w:rsid w:val="00A65CB3"/>
    <w:rsid w:val="00A70FE1"/>
    <w:rsid w:val="00A73F7E"/>
    <w:rsid w:val="00A75AFD"/>
    <w:rsid w:val="00A80317"/>
    <w:rsid w:val="00A83802"/>
    <w:rsid w:val="00AA0446"/>
    <w:rsid w:val="00AA35C2"/>
    <w:rsid w:val="00AB1EE0"/>
    <w:rsid w:val="00AB37D1"/>
    <w:rsid w:val="00AB68A3"/>
    <w:rsid w:val="00AB7905"/>
    <w:rsid w:val="00AC1BC4"/>
    <w:rsid w:val="00AC266A"/>
    <w:rsid w:val="00AC297F"/>
    <w:rsid w:val="00AD7F34"/>
    <w:rsid w:val="00AE3E34"/>
    <w:rsid w:val="00AE6EA7"/>
    <w:rsid w:val="00AF46DE"/>
    <w:rsid w:val="00AF592E"/>
    <w:rsid w:val="00B0670D"/>
    <w:rsid w:val="00B06E34"/>
    <w:rsid w:val="00B14961"/>
    <w:rsid w:val="00B306C5"/>
    <w:rsid w:val="00B32086"/>
    <w:rsid w:val="00B35B68"/>
    <w:rsid w:val="00B375F8"/>
    <w:rsid w:val="00B44209"/>
    <w:rsid w:val="00B45D4B"/>
    <w:rsid w:val="00B6340D"/>
    <w:rsid w:val="00B6388C"/>
    <w:rsid w:val="00B66597"/>
    <w:rsid w:val="00B74150"/>
    <w:rsid w:val="00B843A5"/>
    <w:rsid w:val="00B9271E"/>
    <w:rsid w:val="00B93CDC"/>
    <w:rsid w:val="00B9597C"/>
    <w:rsid w:val="00B96F67"/>
    <w:rsid w:val="00B97306"/>
    <w:rsid w:val="00B9741D"/>
    <w:rsid w:val="00BB1577"/>
    <w:rsid w:val="00BB4A82"/>
    <w:rsid w:val="00BC2501"/>
    <w:rsid w:val="00BC2DB0"/>
    <w:rsid w:val="00BE19E3"/>
    <w:rsid w:val="00BE34F9"/>
    <w:rsid w:val="00BF2D61"/>
    <w:rsid w:val="00BF4F6B"/>
    <w:rsid w:val="00C1338F"/>
    <w:rsid w:val="00C2437A"/>
    <w:rsid w:val="00C379BB"/>
    <w:rsid w:val="00C47A76"/>
    <w:rsid w:val="00C50AD9"/>
    <w:rsid w:val="00C61A38"/>
    <w:rsid w:val="00C716DB"/>
    <w:rsid w:val="00C81952"/>
    <w:rsid w:val="00CA7D76"/>
    <w:rsid w:val="00CD4AB2"/>
    <w:rsid w:val="00CF0C75"/>
    <w:rsid w:val="00CF3C4D"/>
    <w:rsid w:val="00D018F4"/>
    <w:rsid w:val="00D06FBE"/>
    <w:rsid w:val="00D14B7D"/>
    <w:rsid w:val="00D17AC9"/>
    <w:rsid w:val="00D17EFA"/>
    <w:rsid w:val="00D2407A"/>
    <w:rsid w:val="00D30960"/>
    <w:rsid w:val="00D33831"/>
    <w:rsid w:val="00D37CE8"/>
    <w:rsid w:val="00D413CD"/>
    <w:rsid w:val="00D41E38"/>
    <w:rsid w:val="00D45F10"/>
    <w:rsid w:val="00D46A2E"/>
    <w:rsid w:val="00D531C2"/>
    <w:rsid w:val="00D5587D"/>
    <w:rsid w:val="00D64301"/>
    <w:rsid w:val="00D70CDF"/>
    <w:rsid w:val="00D82307"/>
    <w:rsid w:val="00D87A17"/>
    <w:rsid w:val="00D91C8C"/>
    <w:rsid w:val="00D9762F"/>
    <w:rsid w:val="00DA58F9"/>
    <w:rsid w:val="00DA5F19"/>
    <w:rsid w:val="00DA61A7"/>
    <w:rsid w:val="00DA7E63"/>
    <w:rsid w:val="00DB2A29"/>
    <w:rsid w:val="00DB4BA1"/>
    <w:rsid w:val="00DC38ED"/>
    <w:rsid w:val="00DC4226"/>
    <w:rsid w:val="00DC65FB"/>
    <w:rsid w:val="00DD2D7D"/>
    <w:rsid w:val="00DE4C82"/>
    <w:rsid w:val="00DE52EE"/>
    <w:rsid w:val="00DF00B6"/>
    <w:rsid w:val="00DF0AA6"/>
    <w:rsid w:val="00DF60BF"/>
    <w:rsid w:val="00DF6DDF"/>
    <w:rsid w:val="00E06544"/>
    <w:rsid w:val="00E10F33"/>
    <w:rsid w:val="00E12414"/>
    <w:rsid w:val="00E30C3E"/>
    <w:rsid w:val="00E440C6"/>
    <w:rsid w:val="00E51315"/>
    <w:rsid w:val="00E559CA"/>
    <w:rsid w:val="00E5735A"/>
    <w:rsid w:val="00E646A3"/>
    <w:rsid w:val="00E648CD"/>
    <w:rsid w:val="00E70027"/>
    <w:rsid w:val="00E701A1"/>
    <w:rsid w:val="00E7418A"/>
    <w:rsid w:val="00E92409"/>
    <w:rsid w:val="00EA2100"/>
    <w:rsid w:val="00EA39D4"/>
    <w:rsid w:val="00EA3EC5"/>
    <w:rsid w:val="00EB12DD"/>
    <w:rsid w:val="00EB5E4A"/>
    <w:rsid w:val="00EB6DDC"/>
    <w:rsid w:val="00EC49E2"/>
    <w:rsid w:val="00ED2861"/>
    <w:rsid w:val="00ED5D8D"/>
    <w:rsid w:val="00EF699A"/>
    <w:rsid w:val="00F002C1"/>
    <w:rsid w:val="00F018CF"/>
    <w:rsid w:val="00F02AE7"/>
    <w:rsid w:val="00F11A76"/>
    <w:rsid w:val="00F128FB"/>
    <w:rsid w:val="00F16AB3"/>
    <w:rsid w:val="00F20607"/>
    <w:rsid w:val="00F2101C"/>
    <w:rsid w:val="00F33058"/>
    <w:rsid w:val="00F36519"/>
    <w:rsid w:val="00F403D5"/>
    <w:rsid w:val="00F438D8"/>
    <w:rsid w:val="00F729DD"/>
    <w:rsid w:val="00F77CEF"/>
    <w:rsid w:val="00F845B2"/>
    <w:rsid w:val="00F85F8C"/>
    <w:rsid w:val="00FA08F7"/>
    <w:rsid w:val="00FA328F"/>
    <w:rsid w:val="00FA5ACE"/>
    <w:rsid w:val="00FB3829"/>
    <w:rsid w:val="00FD2D09"/>
    <w:rsid w:val="00FE09DB"/>
    <w:rsid w:val="00FF1284"/>
    <w:rsid w:val="00FF16F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2143D-C702-4BAB-B5C2-69628B71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6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semiHidden/>
    <w:rsid w:val="006E3160"/>
    <w:pPr>
      <w:spacing w:after="160" w:line="240" w:lineRule="exact"/>
    </w:pPr>
    <w:rPr>
      <w:rFonts w:ascii="Arial" w:hAnsi="Arial"/>
      <w:sz w:val="22"/>
      <w:szCs w:val="22"/>
    </w:rPr>
  </w:style>
  <w:style w:type="character" w:styleId="Hyperlink">
    <w:name w:val="Hyperlink"/>
    <w:rsid w:val="003726CB"/>
    <w:rPr>
      <w:color w:val="0066CC"/>
      <w:u w:val="single"/>
    </w:rPr>
  </w:style>
  <w:style w:type="character" w:customStyle="1" w:styleId="Bodytext2">
    <w:name w:val="Body text (2)_"/>
    <w:link w:val="Bodytext20"/>
    <w:uiPriority w:val="99"/>
    <w:rsid w:val="003726CB"/>
    <w:rPr>
      <w:sz w:val="26"/>
      <w:szCs w:val="26"/>
      <w:shd w:val="clear" w:color="auto" w:fill="FFFFFF"/>
    </w:rPr>
  </w:style>
  <w:style w:type="paragraph" w:customStyle="1" w:styleId="Bodytext20">
    <w:name w:val="Body text (2)"/>
    <w:basedOn w:val="Normal"/>
    <w:link w:val="Bodytext2"/>
    <w:uiPriority w:val="99"/>
    <w:rsid w:val="003726CB"/>
    <w:pPr>
      <w:widowControl w:val="0"/>
      <w:shd w:val="clear" w:color="auto" w:fill="FFFFFF"/>
      <w:spacing w:after="180" w:line="312" w:lineRule="exact"/>
      <w:jc w:val="center"/>
    </w:pPr>
    <w:rPr>
      <w:rFonts w:eastAsiaTheme="minorHAnsi" w:cstheme="minorBidi"/>
      <w:sz w:val="26"/>
      <w:szCs w:val="26"/>
    </w:rPr>
  </w:style>
  <w:style w:type="character" w:customStyle="1" w:styleId="Bodytext3">
    <w:name w:val="Body text (3)_"/>
    <w:link w:val="Bodytext30"/>
    <w:rsid w:val="003726CB"/>
    <w:rPr>
      <w:b/>
      <w:bCs/>
      <w:shd w:val="clear" w:color="auto" w:fill="FFFFFF"/>
    </w:rPr>
  </w:style>
  <w:style w:type="paragraph" w:customStyle="1" w:styleId="Bodytext30">
    <w:name w:val="Body text (3)"/>
    <w:basedOn w:val="Normal"/>
    <w:link w:val="Bodytext3"/>
    <w:rsid w:val="003726CB"/>
    <w:pPr>
      <w:widowControl w:val="0"/>
      <w:shd w:val="clear" w:color="auto" w:fill="FFFFFF"/>
      <w:spacing w:after="180" w:line="317" w:lineRule="exact"/>
      <w:jc w:val="center"/>
    </w:pPr>
    <w:rPr>
      <w:rFonts w:eastAsiaTheme="minorHAnsi" w:cstheme="minorBidi"/>
      <w:b/>
      <w:bCs/>
      <w:szCs w:val="22"/>
    </w:rPr>
  </w:style>
  <w:style w:type="character" w:customStyle="1" w:styleId="Bodytext4">
    <w:name w:val="Body text (4)_"/>
    <w:link w:val="Bodytext41"/>
    <w:uiPriority w:val="99"/>
    <w:rsid w:val="003726CB"/>
    <w:rPr>
      <w:i/>
      <w:iCs/>
      <w:sz w:val="26"/>
      <w:szCs w:val="26"/>
      <w:shd w:val="clear" w:color="auto" w:fill="FFFFFF"/>
    </w:rPr>
  </w:style>
  <w:style w:type="paragraph" w:customStyle="1" w:styleId="Bodytext41">
    <w:name w:val="Body text (4)1"/>
    <w:basedOn w:val="Normal"/>
    <w:link w:val="Bodytext4"/>
    <w:uiPriority w:val="99"/>
    <w:rsid w:val="003726CB"/>
    <w:pPr>
      <w:widowControl w:val="0"/>
      <w:shd w:val="clear" w:color="auto" w:fill="FFFFFF"/>
      <w:spacing w:before="180" w:line="240" w:lineRule="atLeast"/>
      <w:ind w:hanging="1360"/>
      <w:jc w:val="center"/>
    </w:pPr>
    <w:rPr>
      <w:rFonts w:eastAsiaTheme="minorHAnsi" w:cstheme="minorBidi"/>
      <w:i/>
      <w:iCs/>
      <w:sz w:val="26"/>
      <w:szCs w:val="26"/>
    </w:rPr>
  </w:style>
  <w:style w:type="character" w:customStyle="1" w:styleId="Bodytext4NotItalic">
    <w:name w:val="Body text (4) + Not Italic"/>
    <w:basedOn w:val="Bodytext4"/>
    <w:uiPriority w:val="99"/>
    <w:rsid w:val="003726CB"/>
    <w:rPr>
      <w:i/>
      <w:iCs/>
      <w:sz w:val="26"/>
      <w:szCs w:val="26"/>
      <w:shd w:val="clear" w:color="auto" w:fill="FFFFFF"/>
    </w:rPr>
  </w:style>
  <w:style w:type="character" w:customStyle="1" w:styleId="Bodytext2Italic">
    <w:name w:val="Body text (2) + Italic"/>
    <w:rsid w:val="003726CB"/>
    <w:rPr>
      <w:i/>
      <w:iCs/>
      <w:sz w:val="26"/>
      <w:szCs w:val="26"/>
      <w:lang w:bidi="ar-SA"/>
    </w:rPr>
  </w:style>
  <w:style w:type="character" w:customStyle="1" w:styleId="Heading1">
    <w:name w:val="Heading #1_"/>
    <w:link w:val="Heading10"/>
    <w:rsid w:val="005428E3"/>
    <w:rPr>
      <w:b/>
      <w:bCs/>
      <w:sz w:val="26"/>
      <w:szCs w:val="26"/>
      <w:shd w:val="clear" w:color="auto" w:fill="FFFFFF"/>
    </w:rPr>
  </w:style>
  <w:style w:type="paragraph" w:customStyle="1" w:styleId="Heading10">
    <w:name w:val="Heading #1"/>
    <w:basedOn w:val="Normal"/>
    <w:link w:val="Heading1"/>
    <w:rsid w:val="005428E3"/>
    <w:pPr>
      <w:widowControl w:val="0"/>
      <w:shd w:val="clear" w:color="auto" w:fill="FFFFFF"/>
      <w:spacing w:before="60" w:line="442" w:lineRule="exact"/>
      <w:jc w:val="both"/>
      <w:outlineLvl w:val="0"/>
    </w:pPr>
    <w:rPr>
      <w:rFonts w:eastAsiaTheme="minorHAnsi" w:cstheme="minorBidi"/>
      <w:b/>
      <w:bCs/>
      <w:sz w:val="26"/>
      <w:szCs w:val="26"/>
    </w:rPr>
  </w:style>
  <w:style w:type="paragraph" w:styleId="BodyText">
    <w:name w:val="Body Text"/>
    <w:basedOn w:val="Normal"/>
    <w:link w:val="BodyTextChar"/>
    <w:rsid w:val="005428E3"/>
    <w:pPr>
      <w:spacing w:line="288" w:lineRule="auto"/>
      <w:jc w:val="center"/>
    </w:pPr>
    <w:rPr>
      <w:rFonts w:eastAsia="Batang"/>
      <w:b/>
      <w:bCs/>
    </w:rPr>
  </w:style>
  <w:style w:type="character" w:customStyle="1" w:styleId="BodyTextChar">
    <w:name w:val="Body Text Char"/>
    <w:basedOn w:val="DefaultParagraphFont"/>
    <w:link w:val="BodyText"/>
    <w:rsid w:val="005428E3"/>
    <w:rPr>
      <w:rFonts w:eastAsia="Batang" w:cs="Times New Roman"/>
      <w:b/>
      <w:bCs/>
      <w:szCs w:val="28"/>
    </w:rPr>
  </w:style>
  <w:style w:type="paragraph" w:styleId="Header">
    <w:name w:val="header"/>
    <w:basedOn w:val="Normal"/>
    <w:link w:val="HeaderChar"/>
    <w:uiPriority w:val="99"/>
    <w:unhideWhenUsed/>
    <w:rsid w:val="00247BEC"/>
    <w:pPr>
      <w:tabs>
        <w:tab w:val="center" w:pos="4680"/>
        <w:tab w:val="right" w:pos="9360"/>
      </w:tabs>
    </w:pPr>
  </w:style>
  <w:style w:type="character" w:customStyle="1" w:styleId="HeaderChar">
    <w:name w:val="Header Char"/>
    <w:basedOn w:val="DefaultParagraphFont"/>
    <w:link w:val="Header"/>
    <w:uiPriority w:val="99"/>
    <w:rsid w:val="00247BEC"/>
    <w:rPr>
      <w:rFonts w:eastAsia="Times New Roman" w:cs="Times New Roman"/>
      <w:szCs w:val="28"/>
    </w:rPr>
  </w:style>
  <w:style w:type="paragraph" w:styleId="Footer">
    <w:name w:val="footer"/>
    <w:basedOn w:val="Normal"/>
    <w:link w:val="FooterChar"/>
    <w:uiPriority w:val="99"/>
    <w:unhideWhenUsed/>
    <w:rsid w:val="00247BEC"/>
    <w:pPr>
      <w:tabs>
        <w:tab w:val="center" w:pos="4680"/>
        <w:tab w:val="right" w:pos="9360"/>
      </w:tabs>
    </w:pPr>
  </w:style>
  <w:style w:type="character" w:customStyle="1" w:styleId="FooterChar">
    <w:name w:val="Footer Char"/>
    <w:basedOn w:val="DefaultParagraphFont"/>
    <w:link w:val="Footer"/>
    <w:uiPriority w:val="99"/>
    <w:rsid w:val="00247BEC"/>
    <w:rPr>
      <w:rFonts w:eastAsia="Times New Roman" w:cs="Times New Roman"/>
      <w:szCs w:val="28"/>
    </w:rPr>
  </w:style>
  <w:style w:type="paragraph" w:styleId="NormalWeb">
    <w:name w:val="Normal (Web)"/>
    <w:aliases w:val="Normal (Web) Char,Char Char Char, 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1"/>
    <w:qFormat/>
    <w:rsid w:val="00423146"/>
    <w:pPr>
      <w:spacing w:before="100" w:beforeAutospacing="1" w:after="100" w:afterAutospacing="1"/>
    </w:pPr>
    <w:rPr>
      <w:sz w:val="24"/>
      <w:szCs w:val="24"/>
    </w:rPr>
  </w:style>
  <w:style w:type="character" w:customStyle="1" w:styleId="NormalWebChar1">
    <w:name w:val="Normal (Web) Char1"/>
    <w:aliases w:val="Normal (Web) Char Char,Char Char Char Char, Char Char Char Char,Char Char Char Char Char Char Char Char Char Char Char1,Char Char Char Char Char Char Char Char Char Char Char Char,Обычный (веб)1 Char,Обычный (веб) Знак Char"/>
    <w:link w:val="NormalWeb"/>
    <w:locked/>
    <w:rsid w:val="00423146"/>
    <w:rPr>
      <w:rFonts w:eastAsia="Times New Roman" w:cs="Times New Roman"/>
      <w:sz w:val="24"/>
      <w:szCs w:val="24"/>
    </w:rPr>
  </w:style>
  <w:style w:type="character" w:styleId="Emphasis">
    <w:name w:val="Emphasis"/>
    <w:uiPriority w:val="20"/>
    <w:qFormat/>
    <w:rsid w:val="009E4153"/>
    <w:rPr>
      <w:i/>
      <w:iCs/>
    </w:rPr>
  </w:style>
  <w:style w:type="paragraph" w:styleId="BodyText31">
    <w:name w:val="Body Text 3"/>
    <w:basedOn w:val="Normal"/>
    <w:link w:val="BodyText3Char"/>
    <w:unhideWhenUsed/>
    <w:rsid w:val="00735250"/>
    <w:pPr>
      <w:spacing w:after="120"/>
    </w:pPr>
    <w:rPr>
      <w:sz w:val="16"/>
      <w:szCs w:val="16"/>
    </w:rPr>
  </w:style>
  <w:style w:type="character" w:customStyle="1" w:styleId="BodyText3Char">
    <w:name w:val="Body Text 3 Char"/>
    <w:basedOn w:val="DefaultParagraphFont"/>
    <w:link w:val="BodyText31"/>
    <w:rsid w:val="00735250"/>
    <w:rPr>
      <w:rFonts w:eastAsia="Times New Roman" w:cs="Times New Roman"/>
      <w:sz w:val="16"/>
      <w:szCs w:val="16"/>
    </w:rPr>
  </w:style>
  <w:style w:type="paragraph" w:styleId="ListParagraph">
    <w:name w:val="List Paragraph"/>
    <w:basedOn w:val="Normal"/>
    <w:uiPriority w:val="34"/>
    <w:qFormat/>
    <w:rsid w:val="00101BD9"/>
    <w:pPr>
      <w:ind w:left="720"/>
      <w:contextualSpacing/>
    </w:pPr>
  </w:style>
  <w:style w:type="paragraph" w:customStyle="1" w:styleId="CharCharCharCharCharCharChar">
    <w:name w:val="Char Char Char Char Char Char Char"/>
    <w:basedOn w:val="Normal"/>
    <w:semiHidden/>
    <w:rsid w:val="00347F22"/>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542F0D"/>
    <w:rPr>
      <w:rFonts w:ascii="Tahoma" w:hAnsi="Tahoma" w:cs="Tahoma"/>
      <w:sz w:val="16"/>
      <w:szCs w:val="16"/>
    </w:rPr>
  </w:style>
  <w:style w:type="character" w:customStyle="1" w:styleId="BalloonTextChar">
    <w:name w:val="Balloon Text Char"/>
    <w:basedOn w:val="DefaultParagraphFont"/>
    <w:link w:val="BalloonText"/>
    <w:uiPriority w:val="99"/>
    <w:semiHidden/>
    <w:rsid w:val="00542F0D"/>
    <w:rPr>
      <w:rFonts w:ascii="Tahoma" w:eastAsia="Times New Roman" w:hAnsi="Tahoma" w:cs="Tahoma"/>
      <w:sz w:val="16"/>
      <w:szCs w:val="16"/>
    </w:rPr>
  </w:style>
  <w:style w:type="character" w:customStyle="1" w:styleId="bodytextindent3-h1">
    <w:name w:val="bodytextindent3-h1"/>
    <w:rsid w:val="00536D17"/>
    <w:rPr>
      <w:rFonts w:ascii="Times New Roman" w:hAnsi="Times New Roman" w:cs="Times New Roman" w:hint="default"/>
      <w:color w:val="0000FF"/>
      <w:sz w:val="24"/>
      <w:szCs w:val="24"/>
    </w:rPr>
  </w:style>
  <w:style w:type="paragraph" w:customStyle="1" w:styleId="bodytextindent3-p">
    <w:name w:val="bodytextindent3-p"/>
    <w:basedOn w:val="Normal"/>
    <w:rsid w:val="00536D17"/>
    <w:rPr>
      <w:sz w:val="20"/>
      <w:szCs w:val="20"/>
    </w:rPr>
  </w:style>
  <w:style w:type="table" w:styleId="TableGrid">
    <w:name w:val="Table Grid"/>
    <w:basedOn w:val="TableNormal"/>
    <w:uiPriority w:val="39"/>
    <w:rsid w:val="00536D1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qFormat/>
    <w:rsid w:val="003B3C55"/>
    <w:rPr>
      <w:rFonts w:ascii="TimesNewRomanPSMT" w:hAnsi="TimesNewRomanPSMT" w:hint="default"/>
      <w:b w:val="0"/>
      <w:bCs w:val="0"/>
      <w:i w:val="0"/>
      <w:iCs w:val="0"/>
      <w:color w:val="000000"/>
      <w:sz w:val="28"/>
      <w:szCs w:val="28"/>
    </w:rPr>
  </w:style>
  <w:style w:type="character" w:styleId="FootnoteReference">
    <w:name w:val="footnote reference"/>
    <w:uiPriority w:val="99"/>
    <w:unhideWhenUsed/>
    <w:qFormat/>
    <w:rsid w:val="00EA2100"/>
    <w:rPr>
      <w:vertAlign w:val="superscript"/>
    </w:rPr>
  </w:style>
  <w:style w:type="paragraph" w:styleId="FootnoteText">
    <w:name w:val="footnote text"/>
    <w:basedOn w:val="Normal"/>
    <w:link w:val="FootnoteTextChar"/>
    <w:uiPriority w:val="99"/>
    <w:unhideWhenUsed/>
    <w:qFormat/>
    <w:rsid w:val="00EA2100"/>
    <w:rPr>
      <w:rFonts w:eastAsia="Calibri"/>
      <w:sz w:val="20"/>
      <w:szCs w:val="20"/>
    </w:rPr>
  </w:style>
  <w:style w:type="character" w:customStyle="1" w:styleId="FootnoteTextChar">
    <w:name w:val="Footnote Text Char"/>
    <w:basedOn w:val="DefaultParagraphFont"/>
    <w:link w:val="FootnoteText"/>
    <w:uiPriority w:val="99"/>
    <w:qFormat/>
    <w:rsid w:val="00EA2100"/>
    <w:rPr>
      <w:rFonts w:eastAsia="Calibri" w:cs="Times New Roman"/>
      <w:sz w:val="20"/>
      <w:szCs w:val="20"/>
    </w:rPr>
  </w:style>
  <w:style w:type="character" w:customStyle="1" w:styleId="fontstyle01">
    <w:name w:val="fontstyle01"/>
    <w:basedOn w:val="DefaultParagraphFont"/>
    <w:rsid w:val="0010694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8659">
      <w:bodyDiv w:val="1"/>
      <w:marLeft w:val="0"/>
      <w:marRight w:val="0"/>
      <w:marTop w:val="0"/>
      <w:marBottom w:val="0"/>
      <w:divBdr>
        <w:top w:val="none" w:sz="0" w:space="0" w:color="auto"/>
        <w:left w:val="none" w:sz="0" w:space="0" w:color="auto"/>
        <w:bottom w:val="none" w:sz="0" w:space="0" w:color="auto"/>
        <w:right w:val="none" w:sz="0" w:space="0" w:color="auto"/>
      </w:divBdr>
    </w:div>
    <w:div w:id="613443424">
      <w:bodyDiv w:val="1"/>
      <w:marLeft w:val="0"/>
      <w:marRight w:val="0"/>
      <w:marTop w:val="0"/>
      <w:marBottom w:val="0"/>
      <w:divBdr>
        <w:top w:val="none" w:sz="0" w:space="0" w:color="auto"/>
        <w:left w:val="none" w:sz="0" w:space="0" w:color="auto"/>
        <w:bottom w:val="none" w:sz="0" w:space="0" w:color="auto"/>
        <w:right w:val="none" w:sz="0" w:space="0" w:color="auto"/>
      </w:divBdr>
    </w:div>
    <w:div w:id="684751292">
      <w:bodyDiv w:val="1"/>
      <w:marLeft w:val="0"/>
      <w:marRight w:val="0"/>
      <w:marTop w:val="0"/>
      <w:marBottom w:val="0"/>
      <w:divBdr>
        <w:top w:val="none" w:sz="0" w:space="0" w:color="auto"/>
        <w:left w:val="none" w:sz="0" w:space="0" w:color="auto"/>
        <w:bottom w:val="none" w:sz="0" w:space="0" w:color="auto"/>
        <w:right w:val="none" w:sz="0" w:space="0" w:color="auto"/>
      </w:divBdr>
    </w:div>
    <w:div w:id="1600796997">
      <w:bodyDiv w:val="1"/>
      <w:marLeft w:val="0"/>
      <w:marRight w:val="0"/>
      <w:marTop w:val="0"/>
      <w:marBottom w:val="0"/>
      <w:divBdr>
        <w:top w:val="none" w:sz="0" w:space="0" w:color="auto"/>
        <w:left w:val="none" w:sz="0" w:space="0" w:color="auto"/>
        <w:bottom w:val="none" w:sz="0" w:space="0" w:color="auto"/>
        <w:right w:val="none" w:sz="0" w:space="0" w:color="auto"/>
      </w:divBdr>
    </w:div>
    <w:div w:id="1604730899">
      <w:bodyDiv w:val="1"/>
      <w:marLeft w:val="0"/>
      <w:marRight w:val="0"/>
      <w:marTop w:val="0"/>
      <w:marBottom w:val="0"/>
      <w:divBdr>
        <w:top w:val="none" w:sz="0" w:space="0" w:color="auto"/>
        <w:left w:val="none" w:sz="0" w:space="0" w:color="auto"/>
        <w:bottom w:val="none" w:sz="0" w:space="0" w:color="auto"/>
        <w:right w:val="none" w:sz="0" w:space="0" w:color="auto"/>
      </w:divBdr>
    </w:div>
    <w:div w:id="1819833791">
      <w:bodyDiv w:val="1"/>
      <w:marLeft w:val="0"/>
      <w:marRight w:val="0"/>
      <w:marTop w:val="0"/>
      <w:marBottom w:val="0"/>
      <w:divBdr>
        <w:top w:val="none" w:sz="0" w:space="0" w:color="auto"/>
        <w:left w:val="none" w:sz="0" w:space="0" w:color="auto"/>
        <w:bottom w:val="none" w:sz="0" w:space="0" w:color="auto"/>
        <w:right w:val="none" w:sz="0" w:space="0" w:color="auto"/>
      </w:divBdr>
    </w:div>
    <w:div w:id="1855074516">
      <w:bodyDiv w:val="1"/>
      <w:marLeft w:val="0"/>
      <w:marRight w:val="0"/>
      <w:marTop w:val="0"/>
      <w:marBottom w:val="0"/>
      <w:divBdr>
        <w:top w:val="none" w:sz="0" w:space="0" w:color="auto"/>
        <w:left w:val="none" w:sz="0" w:space="0" w:color="auto"/>
        <w:bottom w:val="none" w:sz="0" w:space="0" w:color="auto"/>
        <w:right w:val="none" w:sz="0" w:space="0" w:color="auto"/>
      </w:divBdr>
    </w:div>
    <w:div w:id="185703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5758E-B7F8-4523-9A40-6BD13392B324}">
  <ds:schemaRefs>
    <ds:schemaRef ds:uri="http://schemas.openxmlformats.org/officeDocument/2006/bibliography"/>
  </ds:schemaRefs>
</ds:datastoreItem>
</file>

<file path=customXml/itemProps2.xml><?xml version="1.0" encoding="utf-8"?>
<ds:datastoreItem xmlns:ds="http://schemas.openxmlformats.org/officeDocument/2006/customXml" ds:itemID="{6633A315-78EB-4240-BC19-E75F4B2AEF37}"/>
</file>

<file path=customXml/itemProps3.xml><?xml version="1.0" encoding="utf-8"?>
<ds:datastoreItem xmlns:ds="http://schemas.openxmlformats.org/officeDocument/2006/customXml" ds:itemID="{7D58E59B-AAED-4C6C-8292-C89364027228}"/>
</file>

<file path=customXml/itemProps4.xml><?xml version="1.0" encoding="utf-8"?>
<ds:datastoreItem xmlns:ds="http://schemas.openxmlformats.org/officeDocument/2006/customXml" ds:itemID="{9093F829-9FCC-4DB9-A0BE-FC0BBD9C4A29}"/>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2022-07-11T08:09:00Z</cp:lastPrinted>
  <dcterms:created xsi:type="dcterms:W3CDTF">2024-10-01T04:35:00Z</dcterms:created>
  <dcterms:modified xsi:type="dcterms:W3CDTF">2024-10-01T04:35:00Z</dcterms:modified>
</cp:coreProperties>
</file>